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AE8" w:rsidRDefault="00D649AA">
      <w:pPr>
        <w:pStyle w:val="awTB00chTitle"/>
      </w:pPr>
      <w:r>
        <w:rPr>
          <w:sz w:val="44"/>
        </w:rPr>
        <w:t>Chapter 2</w:t>
      </w:r>
      <w:r>
        <w:rPr>
          <w:sz w:val="44"/>
        </w:rPr>
        <w:br/>
      </w:r>
      <w:r>
        <w:t>Introduction to Financial Statement Analysis</w:t>
      </w:r>
    </w:p>
    <w:p w:rsidR="00617AE8" w:rsidRDefault="00D649AA">
      <w:pPr>
        <w:pStyle w:val="Note"/>
        <w:keepNext w:val="0"/>
      </w:pPr>
      <w:r>
        <w:rPr>
          <w:i/>
          <w:iCs/>
        </w:rPr>
        <w:t>Note:</w:t>
      </w:r>
      <w:r>
        <w:tab/>
        <w:t xml:space="preserve">All problems in this chapter are available in </w:t>
      </w:r>
      <w:proofErr w:type="spellStart"/>
      <w:r>
        <w:t>MyFinanceLab</w:t>
      </w:r>
      <w:proofErr w:type="spellEnd"/>
      <w:r>
        <w:t>. An asterisk (*) indicates problems with a higher level of difficulty.</w:t>
      </w:r>
    </w:p>
    <w:p w:rsidR="00617AE8" w:rsidRDefault="00D649AA" w:rsidP="006F546F">
      <w:pPr>
        <w:pStyle w:val="NL"/>
      </w:pPr>
      <w:r>
        <w:rPr>
          <w:b/>
        </w:rPr>
        <w:tab/>
        <w:t>1.</w:t>
      </w:r>
      <w:r>
        <w:rPr>
          <w:b/>
        </w:rPr>
        <w:tab/>
      </w:r>
      <w:r>
        <w:t>In a firm’s 10-K filing, four financial statements can be found: the balance sheet, the income statement, the statement of cash flows, and the statement of stockholders’ equity.</w:t>
      </w:r>
      <w:r w:rsidR="00106723">
        <w:t xml:space="preserve"> </w:t>
      </w:r>
      <w:r>
        <w:t>Financial statements in form 10-K are required to be audited by a neutral third party, who checks and ensures that the financial statements are prepared according to GAAP and that the information contained is reliable.</w:t>
      </w:r>
    </w:p>
    <w:p w:rsidR="00617AE8" w:rsidRDefault="00D649AA" w:rsidP="006F546F">
      <w:pPr>
        <w:pStyle w:val="NL"/>
      </w:pPr>
      <w:r>
        <w:rPr>
          <w:b/>
        </w:rPr>
        <w:tab/>
        <w:t>2.</w:t>
      </w:r>
      <w:r>
        <w:rPr>
          <w:b/>
        </w:rPr>
        <w:tab/>
      </w:r>
      <w:r>
        <w:t>In the United States, the Financial Accounting Standards Board (FASB) establishes Generally Accepted Accounting Principles (GAAP) to provide a common set of rules and a standard format for public companies to use when they prepare their reports.</w:t>
      </w:r>
    </w:p>
    <w:p w:rsidR="00617AE8" w:rsidRDefault="00D649AA" w:rsidP="006F546F">
      <w:pPr>
        <w:pStyle w:val="NL"/>
      </w:pPr>
      <w:r>
        <w:rPr>
          <w:b/>
        </w:rPr>
        <w:tab/>
        <w:t>3.</w:t>
      </w:r>
      <w:r>
        <w:rPr>
          <w:b/>
        </w:rPr>
        <w:tab/>
      </w:r>
      <w:r>
        <w:t>Each method will help find the same SEC filings. Yahoo! Finance also provides some analysis such as charts and key statistics.</w:t>
      </w:r>
    </w:p>
    <w:p w:rsidR="00D50B84" w:rsidRDefault="00D649AA" w:rsidP="00D50B84">
      <w:pPr>
        <w:pStyle w:val="List1-1"/>
      </w:pPr>
      <w:r>
        <w:rPr>
          <w:b/>
          <w:bCs/>
        </w:rPr>
        <w:tab/>
      </w:r>
      <w:r w:rsidR="00D50B84">
        <w:rPr>
          <w:b/>
          <w:bCs/>
        </w:rPr>
        <w:t>4.</w:t>
      </w:r>
      <w:r w:rsidR="00D50B84">
        <w:tab/>
        <w:t>a.</w:t>
      </w:r>
      <w:r w:rsidR="00D50B84">
        <w:tab/>
        <w:t>Long-term liabilities would decrease by $20 million, and cash would decrease by the same amount. The book value of equity would be unchanged.</w:t>
      </w:r>
    </w:p>
    <w:p w:rsidR="00D50B84" w:rsidRDefault="00D50B84" w:rsidP="00D50B84">
      <w:pPr>
        <w:pStyle w:val="List2"/>
      </w:pPr>
      <w:r>
        <w:t>b.</w:t>
      </w:r>
      <w:r>
        <w:tab/>
        <w:t>Inventory would decrease by $5 million, as would the book value of equity.</w:t>
      </w:r>
    </w:p>
    <w:p w:rsidR="00D50B84" w:rsidRDefault="00D50B84" w:rsidP="00D50B84">
      <w:pPr>
        <w:pStyle w:val="List2"/>
      </w:pPr>
      <w:r>
        <w:t>c.</w:t>
      </w:r>
      <w:r>
        <w:tab/>
        <w:t xml:space="preserve">Long-term assets would increase by $10 million, cash would decrease by $5 million, and </w:t>
      </w:r>
      <w:r>
        <w:br/>
        <w:t xml:space="preserve">long-term liabilities would increase by $5 million. There would be no change to the book </w:t>
      </w:r>
      <w:r>
        <w:br/>
        <w:t>value of equity.</w:t>
      </w:r>
    </w:p>
    <w:p w:rsidR="00D50B84" w:rsidRDefault="00D50B84" w:rsidP="00D50B84">
      <w:pPr>
        <w:pStyle w:val="List2"/>
      </w:pPr>
      <w:r>
        <w:t>d.</w:t>
      </w:r>
      <w:r>
        <w:tab/>
        <w:t>Accounts receivable would decrease by $3 million, as would the book value of equity.</w:t>
      </w:r>
    </w:p>
    <w:p w:rsidR="00D50B84" w:rsidRDefault="00D50B84" w:rsidP="00D50B84">
      <w:pPr>
        <w:pStyle w:val="List2"/>
      </w:pPr>
      <w:r>
        <w:t>e.</w:t>
      </w:r>
      <w:r>
        <w:tab/>
        <w:t>This event would not directly affect the balance sheet.</w:t>
      </w:r>
    </w:p>
    <w:p w:rsidR="00D50B84" w:rsidRDefault="00D50B84" w:rsidP="00D50B84">
      <w:pPr>
        <w:pStyle w:val="List2"/>
      </w:pPr>
      <w:r>
        <w:t>f.</w:t>
      </w:r>
      <w:r>
        <w:tab/>
        <w:t>This event would not directly affect the balance sheet.</w:t>
      </w:r>
    </w:p>
    <w:p w:rsidR="00D50B84" w:rsidRDefault="00D50B84" w:rsidP="006F546F">
      <w:pPr>
        <w:pStyle w:val="NL"/>
      </w:pPr>
      <w:r>
        <w:rPr>
          <w:b/>
          <w:bCs/>
        </w:rPr>
        <w:tab/>
      </w:r>
      <w:r>
        <w:rPr>
          <w:b/>
          <w:bCs/>
          <w:color w:val="FFFFFF"/>
        </w:rPr>
        <w:t>5.</w:t>
      </w:r>
      <w:r>
        <w:rPr>
          <w:b/>
          <w:bCs/>
        </w:rPr>
        <w:t>5.</w:t>
      </w:r>
      <w:r>
        <w:rPr>
          <w:b/>
          <w:bCs/>
        </w:rPr>
        <w:tab/>
      </w:r>
      <w:r>
        <w:rPr>
          <w:spacing w:val="-2"/>
        </w:rPr>
        <w:t>G</w:t>
      </w:r>
      <w:r>
        <w:t xml:space="preserve">lobal Conglomerate’s book value of equity increased by $1 million ($22.2 million in 2013 </w:t>
      </w:r>
      <w:r w:rsidR="00106723">
        <w:t xml:space="preserve">– </w:t>
      </w:r>
      <w:r>
        <w:t xml:space="preserve">$21.2 million in 2012) from 2012 to 2013. An increase in book value does not necessarily indicate an increase in </w:t>
      </w:r>
      <w:proofErr w:type="spellStart"/>
      <w:r>
        <w:t>Global’s</w:t>
      </w:r>
      <w:proofErr w:type="spellEnd"/>
      <w:r>
        <w:t xml:space="preserve"> share price. The market value of a stock does not depend </w:t>
      </w:r>
      <w:r w:rsidRPr="00301703">
        <w:t>on the book value of equity, which is an accounting measure of historical performance</w:t>
      </w:r>
      <w:r>
        <w:t xml:space="preserve">, but on investors’ expectation of the firm’s future performance. There are many events that may affect </w:t>
      </w:r>
      <w:proofErr w:type="spellStart"/>
      <w:r>
        <w:t>Global’s</w:t>
      </w:r>
      <w:proofErr w:type="spellEnd"/>
      <w:r>
        <w:t xml:space="preserve"> future profitability, and hence its share price, that do not show up on the balance sheet.</w:t>
      </w:r>
    </w:p>
    <w:p w:rsidR="00D50B84" w:rsidRDefault="00D50B84" w:rsidP="00D50B84">
      <w:pPr>
        <w:pStyle w:val="List1-1"/>
      </w:pPr>
      <w:r>
        <w:rPr>
          <w:sz w:val="19"/>
        </w:rPr>
        <w:tab/>
      </w:r>
      <w:r>
        <w:rPr>
          <w:b/>
          <w:bCs/>
        </w:rPr>
        <w:t>6.</w:t>
      </w:r>
      <w:r>
        <w:tab/>
        <w:t>a.</w:t>
      </w:r>
      <w:r>
        <w:rPr>
          <w:sz w:val="19"/>
        </w:rPr>
        <w:tab/>
      </w:r>
      <w:r>
        <w:t>$3</w:t>
      </w:r>
      <w:r w:rsidR="00106723">
        <w:t>,</w:t>
      </w:r>
      <w:r>
        <w:t>807 million (cash &amp; equivalents) and $8</w:t>
      </w:r>
      <w:r w:rsidR="00106723">
        <w:t>,</w:t>
      </w:r>
      <w:r>
        <w:t>567 million (short-term investments/marketable securities) for a total of $12,374 million</w:t>
      </w:r>
    </w:p>
    <w:p w:rsidR="00D50B84" w:rsidRDefault="00D50B84" w:rsidP="00D50B84">
      <w:pPr>
        <w:pStyle w:val="List2"/>
      </w:pPr>
      <w:proofErr w:type="gramStart"/>
      <w:r>
        <w:t>b</w:t>
      </w:r>
      <w:proofErr w:type="gramEnd"/>
      <w:r>
        <w:t>.</w:t>
      </w:r>
      <w:r>
        <w:rPr>
          <w:sz w:val="19"/>
        </w:rPr>
        <w:tab/>
      </w:r>
      <w:r>
        <w:t>$1</w:t>
      </w:r>
      <w:r w:rsidR="00106723">
        <w:t>,</w:t>
      </w:r>
      <w:r>
        <w:t>459 million</w:t>
      </w:r>
    </w:p>
    <w:p w:rsidR="00D50B84" w:rsidRDefault="00D50B84" w:rsidP="00D50B84">
      <w:pPr>
        <w:pStyle w:val="List2"/>
      </w:pPr>
      <w:proofErr w:type="gramStart"/>
      <w:r>
        <w:t>c</w:t>
      </w:r>
      <w:proofErr w:type="gramEnd"/>
      <w:r>
        <w:t>.</w:t>
      </w:r>
      <w:r>
        <w:rPr>
          <w:sz w:val="19"/>
        </w:rPr>
        <w:tab/>
      </w:r>
      <w:r>
        <w:t>$43,012 million</w:t>
      </w:r>
    </w:p>
    <w:p w:rsidR="00D50B84" w:rsidRDefault="00D50B84" w:rsidP="00D50B84">
      <w:pPr>
        <w:pStyle w:val="List2"/>
      </w:pPr>
      <w:proofErr w:type="gramStart"/>
      <w:r>
        <w:t>d</w:t>
      </w:r>
      <w:proofErr w:type="gramEnd"/>
      <w:r>
        <w:t>.</w:t>
      </w:r>
      <w:r>
        <w:rPr>
          <w:sz w:val="19"/>
        </w:rPr>
        <w:tab/>
      </w:r>
      <w:r>
        <w:t>$9</w:t>
      </w:r>
      <w:r w:rsidR="00106723">
        <w:t>,</w:t>
      </w:r>
      <w:r>
        <w:t>489 million, 0 (Qualcomm has no long</w:t>
      </w:r>
      <w:r w:rsidR="00106723">
        <w:t>-</w:t>
      </w:r>
      <w:r>
        <w:t>term debt)</w:t>
      </w:r>
    </w:p>
    <w:p w:rsidR="00D50B84" w:rsidRDefault="00D50B84" w:rsidP="00D50B84">
      <w:pPr>
        <w:pStyle w:val="List2"/>
      </w:pPr>
      <w:proofErr w:type="gramStart"/>
      <w:r>
        <w:t>e</w:t>
      </w:r>
      <w:proofErr w:type="gramEnd"/>
      <w:r>
        <w:t>.</w:t>
      </w:r>
      <w:r>
        <w:rPr>
          <w:sz w:val="19"/>
        </w:rPr>
        <w:tab/>
      </w:r>
      <w:r>
        <w:t>$33,523 million</w:t>
      </w:r>
    </w:p>
    <w:p w:rsidR="00D50B84" w:rsidRDefault="00D649AA" w:rsidP="006F546F">
      <w:pPr>
        <w:pStyle w:val="List1-1"/>
        <w:spacing w:before="160"/>
      </w:pPr>
      <w:r>
        <w:rPr>
          <w:b/>
        </w:rPr>
        <w:lastRenderedPageBreak/>
        <w:tab/>
      </w:r>
      <w:r w:rsidR="00D50B84">
        <w:rPr>
          <w:b/>
        </w:rPr>
        <w:t>7.</w:t>
      </w:r>
      <w:r w:rsidR="00D50B84">
        <w:rPr>
          <w:b/>
        </w:rPr>
        <w:tab/>
      </w:r>
      <w:proofErr w:type="gramStart"/>
      <w:r w:rsidR="00D50B84">
        <w:t>a</w:t>
      </w:r>
      <w:proofErr w:type="gramEnd"/>
      <w:r w:rsidR="00D50B84">
        <w:t>.</w:t>
      </w:r>
      <w:r w:rsidR="00D50B84">
        <w:tab/>
        <w:t>At the end of September 2012, GMCR’s had cash and cash equivalents of $58.29 million.</w:t>
      </w:r>
    </w:p>
    <w:p w:rsidR="00D50B84" w:rsidRDefault="00D50B84" w:rsidP="00461D08">
      <w:pPr>
        <w:pStyle w:val="List2"/>
        <w:tabs>
          <w:tab w:val="decimal" w:pos="270"/>
        </w:tabs>
      </w:pPr>
      <w:r>
        <w:t>b.</w:t>
      </w:r>
      <w:r>
        <w:tab/>
        <w:t>GMCR’s total assets were $3</w:t>
      </w:r>
      <w:r w:rsidR="00106723">
        <w:t>,</w:t>
      </w:r>
      <w:r>
        <w:t>615.79 million.</w:t>
      </w:r>
    </w:p>
    <w:p w:rsidR="00D50B84" w:rsidRDefault="00D50B84" w:rsidP="00461D08">
      <w:pPr>
        <w:pStyle w:val="List2"/>
        <w:tabs>
          <w:tab w:val="decimal" w:pos="270"/>
        </w:tabs>
      </w:pPr>
      <w:r>
        <w:t>c.</w:t>
      </w:r>
      <w:r>
        <w:tab/>
        <w:t>GMCR’s total liabilities were $1</w:t>
      </w:r>
      <w:r w:rsidR="00106723">
        <w:t>,</w:t>
      </w:r>
      <w:r>
        <w:t>354.56 million, and it had $531.53 million in total debt.</w:t>
      </w:r>
    </w:p>
    <w:p w:rsidR="00D50B84" w:rsidRDefault="00D50B84" w:rsidP="00461D08">
      <w:pPr>
        <w:pStyle w:val="List2"/>
        <w:tabs>
          <w:tab w:val="decimal" w:pos="270"/>
        </w:tabs>
      </w:pPr>
      <w:r>
        <w:t>d.</w:t>
      </w:r>
      <w:r>
        <w:tab/>
        <w:t>The book value of GMCR’s equity was $2</w:t>
      </w:r>
      <w:r w:rsidR="00880DDC">
        <w:t>,</w:t>
      </w:r>
      <w:r>
        <w:t>261.23 million.</w:t>
      </w:r>
    </w:p>
    <w:p w:rsidR="00D50B84" w:rsidRDefault="00D50B84" w:rsidP="006F546F">
      <w:pPr>
        <w:pStyle w:val="List1-1"/>
        <w:spacing w:before="160"/>
        <w:rPr>
          <w:color w:val="000000"/>
        </w:rPr>
      </w:pPr>
      <w:r>
        <w:rPr>
          <w:b/>
        </w:rPr>
        <w:tab/>
        <w:t>8.</w:t>
      </w:r>
      <w:r>
        <w:rPr>
          <w:b/>
        </w:rPr>
        <w:tab/>
      </w:r>
      <w:r>
        <w:rPr>
          <w:color w:val="000000"/>
        </w:rPr>
        <w:t>a.</w:t>
      </w:r>
      <w:r>
        <w:rPr>
          <w:color w:val="000000"/>
        </w:rPr>
        <w:tab/>
        <w:t>Revenues in 2012 were 3,859.20</w:t>
      </w:r>
    </w:p>
    <w:p w:rsidR="00D50B84" w:rsidRDefault="00D50B84" w:rsidP="00D50B84">
      <w:pPr>
        <w:pStyle w:val="List1-1"/>
        <w:spacing w:before="160"/>
        <w:rPr>
          <w:color w:val="000000"/>
        </w:rPr>
      </w:pPr>
      <w:r>
        <w:rPr>
          <w:b/>
        </w:rPr>
        <w:tab/>
      </w:r>
      <w:r>
        <w:rPr>
          <w:b/>
        </w:rPr>
        <w:tab/>
      </w:r>
      <w:r>
        <w:rPr>
          <w:b/>
        </w:rPr>
        <w:tab/>
      </w:r>
      <w:r>
        <w:rPr>
          <w:color w:val="000000"/>
        </w:rPr>
        <w:t xml:space="preserve">Increase in Revenues </w:t>
      </w:r>
      <w:r w:rsidR="00880DDC" w:rsidRPr="00880DDC">
        <w:rPr>
          <w:color w:val="000000"/>
          <w:position w:val="-26"/>
        </w:rPr>
        <w:object w:dxaOrig="21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31.05pt" o:ole="">
            <v:imagedata r:id="rId7" o:title=""/>
          </v:shape>
          <o:OLEObject Type="Embed" ProgID="Equation.DSMT4" ShapeID="_x0000_i1025" DrawAspect="Content" ObjectID="_1458470195" r:id="rId8"/>
        </w:object>
      </w:r>
    </w:p>
    <w:p w:rsidR="00D50B84" w:rsidRDefault="00D50B84" w:rsidP="00D50B84">
      <w:pPr>
        <w:pStyle w:val="List2"/>
      </w:pPr>
      <w:r>
        <w:t>b.</w:t>
      </w:r>
      <w:r>
        <w:tab/>
        <w:t xml:space="preserve">Operating Margin </w:t>
      </w:r>
      <w:r w:rsidR="00880DDC" w:rsidRPr="00880DDC">
        <w:rPr>
          <w:position w:val="-26"/>
        </w:rPr>
        <w:object w:dxaOrig="2560" w:dyaOrig="620">
          <v:shape id="_x0000_i1026" type="#_x0000_t75" style="width:128.1pt;height:31.05pt" o:ole="">
            <v:imagedata r:id="rId9" o:title=""/>
          </v:shape>
          <o:OLEObject Type="Embed" ProgID="Equation.DSMT4" ShapeID="_x0000_i1026" DrawAspect="Content" ObjectID="_1458470196" r:id="rId10"/>
        </w:object>
      </w:r>
    </w:p>
    <w:p w:rsidR="00D50B84" w:rsidRDefault="00D50B84" w:rsidP="00D50B84">
      <w:pPr>
        <w:pStyle w:val="List2"/>
      </w:pPr>
      <w:r>
        <w:tab/>
        <w:t xml:space="preserve">Operating Margin </w:t>
      </w:r>
      <w:r w:rsidR="00880DDC" w:rsidRPr="00880DDC">
        <w:rPr>
          <w:position w:val="-26"/>
        </w:rPr>
        <w:object w:dxaOrig="2560" w:dyaOrig="620">
          <v:shape id="_x0000_i1027" type="#_x0000_t75" style="width:128.1pt;height:31.05pt" o:ole="">
            <v:imagedata r:id="rId11" o:title=""/>
          </v:shape>
          <o:OLEObject Type="Embed" ProgID="Equation.DSMT4" ShapeID="_x0000_i1027" DrawAspect="Content" ObjectID="_1458470197" r:id="rId12"/>
        </w:object>
      </w:r>
    </w:p>
    <w:p w:rsidR="00D50B84" w:rsidRDefault="00D50B84" w:rsidP="00D50B84">
      <w:pPr>
        <w:pStyle w:val="List2"/>
      </w:pPr>
      <w:r>
        <w:tab/>
        <w:t xml:space="preserve">Net Profit Margin </w:t>
      </w:r>
      <w:r w:rsidR="003B065C" w:rsidRPr="003B065C">
        <w:rPr>
          <w:position w:val="-26"/>
        </w:rPr>
        <w:object w:dxaOrig="2480" w:dyaOrig="620">
          <v:shape id="_x0000_i1028" type="#_x0000_t75" style="width:123.9pt;height:31.05pt" o:ole="">
            <v:imagedata r:id="rId13" o:title=""/>
          </v:shape>
          <o:OLEObject Type="Embed" ProgID="Equation.DSMT4" ShapeID="_x0000_i1028" DrawAspect="Content" ObjectID="_1458470198" r:id="rId14"/>
        </w:object>
      </w:r>
    </w:p>
    <w:p w:rsidR="00D50B84" w:rsidRDefault="00D50B84" w:rsidP="00D50B84">
      <w:pPr>
        <w:pStyle w:val="List2"/>
      </w:pPr>
      <w:r>
        <w:tab/>
        <w:t xml:space="preserve">Net Profit Margin </w:t>
      </w:r>
      <w:r w:rsidR="003B065C" w:rsidRPr="003B065C">
        <w:rPr>
          <w:position w:val="-26"/>
        </w:rPr>
        <w:object w:dxaOrig="2460" w:dyaOrig="620">
          <v:shape id="_x0000_i1029" type="#_x0000_t75" style="width:123.15pt;height:31.05pt" o:ole="">
            <v:imagedata r:id="rId15" o:title=""/>
          </v:shape>
          <o:OLEObject Type="Embed" ProgID="Equation.DSMT4" ShapeID="_x0000_i1029" DrawAspect="Content" ObjectID="_1458470199" r:id="rId16"/>
        </w:object>
      </w:r>
    </w:p>
    <w:p w:rsidR="00D50B84" w:rsidRDefault="00D50B84" w:rsidP="00D50B84">
      <w:pPr>
        <w:pStyle w:val="List2"/>
      </w:pPr>
      <w:r>
        <w:tab/>
        <w:t>Both margins increased compared with the year before.</w:t>
      </w:r>
    </w:p>
    <w:p w:rsidR="001B32B6" w:rsidRDefault="00D50B84" w:rsidP="006F546F">
      <w:pPr>
        <w:pStyle w:val="List2"/>
      </w:pPr>
      <w:r>
        <w:t>c.</w:t>
      </w:r>
      <w:r>
        <w:tab/>
        <w:t xml:space="preserve">The diluted earnings per share in 2012 </w:t>
      </w:r>
      <w:r w:rsidR="003B065C">
        <w:t xml:space="preserve">were </w:t>
      </w:r>
      <w:r>
        <w:t>$2.28. The number of shares used in this calculation of diluted EPS was 159.08 million.</w:t>
      </w:r>
    </w:p>
    <w:p w:rsidR="00035BF4" w:rsidRPr="00C33A45" w:rsidRDefault="00461D08" w:rsidP="006F546F">
      <w:pPr>
        <w:pStyle w:val="NL"/>
      </w:pPr>
      <w:r w:rsidRPr="006F546F">
        <w:rPr>
          <w:b/>
          <w:noProof/>
          <w:position w:val="-8"/>
        </w:rPr>
        <w:drawing>
          <wp:inline distT="0" distB="0" distL="0" distR="0">
            <wp:extent cx="295518" cy="205740"/>
            <wp:effectExtent l="19050" t="0" r="9282" b="0"/>
            <wp:docPr id="1"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5518" cy="205740"/>
                    </a:xfrm>
                    <a:prstGeom prst="rect">
                      <a:avLst/>
                    </a:prstGeom>
                  </pic:spPr>
                </pic:pic>
              </a:graphicData>
            </a:graphic>
          </wp:inline>
        </w:drawing>
      </w:r>
      <w:r w:rsidRPr="006F546F">
        <w:rPr>
          <w:b/>
          <w:position w:val="-8"/>
        </w:rPr>
        <w:tab/>
      </w:r>
      <w:r w:rsidR="00035BF4" w:rsidRPr="00461D08">
        <w:rPr>
          <w:b/>
        </w:rPr>
        <w:t>9</w:t>
      </w:r>
      <w:r w:rsidR="00035BF4" w:rsidRPr="00461D08">
        <w:rPr>
          <w:b/>
          <w:w w:val="0"/>
        </w:rPr>
        <w:t>.</w:t>
      </w:r>
      <w:r w:rsidR="00035BF4" w:rsidRPr="00C33A45">
        <w:tab/>
      </w:r>
      <w:r w:rsidR="00035BF4" w:rsidRPr="006F546F">
        <w:rPr>
          <w:b/>
        </w:rPr>
        <w:t xml:space="preserve">See Table 2.5 showing financial statement data and stock price data for </w:t>
      </w:r>
      <w:proofErr w:type="spellStart"/>
      <w:r w:rsidR="00035BF4" w:rsidRPr="006F546F">
        <w:rPr>
          <w:b/>
        </w:rPr>
        <w:t>Mydeco</w:t>
      </w:r>
      <w:proofErr w:type="spellEnd"/>
      <w:r w:rsidR="00035BF4" w:rsidRPr="006F546F">
        <w:rPr>
          <w:b/>
        </w:rPr>
        <w:t xml:space="preserve"> Corp.</w:t>
      </w:r>
    </w:p>
    <w:p w:rsidR="00035BF4" w:rsidRPr="006F546F" w:rsidRDefault="006F546F" w:rsidP="006F546F">
      <w:pPr>
        <w:pStyle w:val="List1-1"/>
        <w:rPr>
          <w:b/>
        </w:rPr>
      </w:pPr>
      <w:r>
        <w:rPr>
          <w:b/>
        </w:rPr>
        <w:tab/>
      </w:r>
      <w:r>
        <w:rPr>
          <w:b/>
        </w:rPr>
        <w:tab/>
      </w:r>
      <w:r w:rsidR="00035BF4" w:rsidRPr="006F546F">
        <w:rPr>
          <w:b/>
        </w:rPr>
        <w:t>a.</w:t>
      </w:r>
      <w:r w:rsidR="00035BF4" w:rsidRPr="006F546F">
        <w:rPr>
          <w:b/>
        </w:rPr>
        <w:tab/>
        <w:t xml:space="preserve">By what percentage did </w:t>
      </w:r>
      <w:proofErr w:type="spellStart"/>
      <w:r w:rsidR="00035BF4" w:rsidRPr="006F546F">
        <w:rPr>
          <w:b/>
        </w:rPr>
        <w:t>Mydeco’s</w:t>
      </w:r>
      <w:proofErr w:type="spellEnd"/>
      <w:r w:rsidR="00035BF4" w:rsidRPr="006F546F">
        <w:rPr>
          <w:b/>
        </w:rPr>
        <w:t xml:space="preserve"> revenues grow each year from 2010 to 2013?</w:t>
      </w:r>
    </w:p>
    <w:p w:rsidR="00035BF4" w:rsidRPr="006F546F" w:rsidRDefault="006F546F" w:rsidP="006F546F">
      <w:pPr>
        <w:pStyle w:val="List1-1"/>
        <w:rPr>
          <w:b/>
        </w:rPr>
      </w:pPr>
      <w:r>
        <w:rPr>
          <w:b/>
        </w:rPr>
        <w:tab/>
      </w:r>
      <w:r>
        <w:rPr>
          <w:b/>
        </w:rPr>
        <w:tab/>
      </w:r>
      <w:r w:rsidR="00035BF4" w:rsidRPr="006F546F">
        <w:rPr>
          <w:b/>
        </w:rPr>
        <w:t>b.</w:t>
      </w:r>
      <w:r w:rsidR="00035BF4" w:rsidRPr="006F546F">
        <w:rPr>
          <w:b/>
        </w:rPr>
        <w:tab/>
        <w:t>By what percentage did net income grow each year?</w:t>
      </w:r>
    </w:p>
    <w:p w:rsidR="00035BF4" w:rsidRPr="003B065C" w:rsidRDefault="006F546F" w:rsidP="006F546F">
      <w:pPr>
        <w:pStyle w:val="List1-1"/>
        <w:rPr>
          <w:b/>
        </w:rPr>
      </w:pPr>
      <w:r>
        <w:rPr>
          <w:b/>
        </w:rPr>
        <w:tab/>
      </w:r>
      <w:r>
        <w:rPr>
          <w:b/>
        </w:rPr>
        <w:tab/>
      </w:r>
      <w:r w:rsidR="00035BF4" w:rsidRPr="006F546F">
        <w:rPr>
          <w:b/>
        </w:rPr>
        <w:t>c.</w:t>
      </w:r>
      <w:r w:rsidR="00035BF4" w:rsidRPr="006F546F">
        <w:rPr>
          <w:b/>
        </w:rPr>
        <w:tab/>
        <w:t>Why m</w:t>
      </w:r>
      <w:r w:rsidR="00035BF4" w:rsidRPr="003B065C">
        <w:rPr>
          <w:b/>
        </w:rPr>
        <w:t>ight the growth rates of revenues and net income differ?</w:t>
      </w:r>
    </w:p>
    <w:p w:rsidR="00035BF4" w:rsidRPr="00C33A45" w:rsidRDefault="00035BF4" w:rsidP="006F546F">
      <w:pPr>
        <w:pStyle w:val="List2"/>
      </w:pPr>
      <w:proofErr w:type="gramStart"/>
      <w:r w:rsidRPr="00C33A45">
        <w:t>a</w:t>
      </w:r>
      <w:proofErr w:type="gramEnd"/>
      <w:r w:rsidRPr="00C33A45">
        <w:t>.</w:t>
      </w:r>
      <w:r w:rsidRPr="00C33A45">
        <w:tab/>
      </w:r>
      <w:r w:rsidR="003B065C" w:rsidRPr="00BC6962">
        <w:rPr>
          <w:noProof/>
        </w:rPr>
        <w:object w:dxaOrig="9582" w:dyaOrig="774">
          <v:shape id="_x0000_i1030" type="#_x0000_t75" style="width:306.55pt;height:25pt" o:ole="">
            <v:imagedata r:id="rId18" o:title=""/>
          </v:shape>
          <o:OLEObject Type="Embed" ProgID="Excel.Sheet.12" ShapeID="_x0000_i1030" DrawAspect="Content" ObjectID="_1458470200" r:id="rId19"/>
        </w:object>
      </w:r>
    </w:p>
    <w:p w:rsidR="00035BF4" w:rsidRPr="00C33A45" w:rsidRDefault="00035BF4" w:rsidP="006F546F">
      <w:pPr>
        <w:pStyle w:val="List2"/>
      </w:pPr>
      <w:proofErr w:type="gramStart"/>
      <w:r w:rsidRPr="00C33A45">
        <w:t>b</w:t>
      </w:r>
      <w:proofErr w:type="gramEnd"/>
      <w:r w:rsidRPr="00C33A45">
        <w:t>.</w:t>
      </w:r>
      <w:r w:rsidRPr="00C33A45">
        <w:tab/>
      </w:r>
      <w:r w:rsidRPr="00BC6962">
        <w:rPr>
          <w:noProof/>
        </w:rPr>
        <w:object w:dxaOrig="9582" w:dyaOrig="774">
          <v:shape id="_x0000_i1031" type="#_x0000_t75" style="width:306.55pt;height:25pt" o:ole="">
            <v:imagedata r:id="rId20" o:title=""/>
          </v:shape>
          <o:OLEObject Type="Embed" ProgID="Excel.Sheet.12" ShapeID="_x0000_i1031" DrawAspect="Content" ObjectID="_1458470201" r:id="rId21"/>
        </w:object>
      </w:r>
    </w:p>
    <w:p w:rsidR="00035BF4" w:rsidRDefault="00035BF4" w:rsidP="006F546F">
      <w:pPr>
        <w:pStyle w:val="List2"/>
      </w:pPr>
      <w:r w:rsidRPr="00C33A45">
        <w:t>c.</w:t>
      </w:r>
      <w:r w:rsidRPr="00C33A45">
        <w:tab/>
      </w:r>
      <w:r w:rsidRPr="00877A29">
        <w:t>Net Income growth rate differs from revenue growth rate</w:t>
      </w:r>
      <w:r>
        <w:t xml:space="preserve"> because cost of goods sold and other expenses can move at different rates than revenues. For example, revenues declined in 2010 by 10%</w:t>
      </w:r>
      <w:r w:rsidR="003B065C">
        <w:t>;</w:t>
      </w:r>
      <w:r>
        <w:t xml:space="preserve"> however, cost of goods sold only declined by 7%.</w:t>
      </w:r>
    </w:p>
    <w:p w:rsidR="00035BF4" w:rsidRPr="006F546F" w:rsidRDefault="006F546F" w:rsidP="006F546F">
      <w:pPr>
        <w:pStyle w:val="Question"/>
      </w:pPr>
      <w:r w:rsidRPr="006F546F">
        <w:rPr>
          <w:noProof/>
          <w:position w:val="-8"/>
        </w:rPr>
        <w:drawing>
          <wp:inline distT="0" distB="0" distL="0" distR="0">
            <wp:extent cx="298280" cy="210312"/>
            <wp:effectExtent l="19050" t="0" r="6520" b="0"/>
            <wp:docPr id="2"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80" cy="210312"/>
                    </a:xfrm>
                    <a:prstGeom prst="rect">
                      <a:avLst/>
                    </a:prstGeom>
                  </pic:spPr>
                </pic:pic>
              </a:graphicData>
            </a:graphic>
          </wp:inline>
        </w:drawing>
      </w:r>
      <w:r w:rsidRPr="006F546F">
        <w:rPr>
          <w:position w:val="-8"/>
        </w:rPr>
        <w:tab/>
      </w:r>
      <w:r w:rsidR="00035BF4" w:rsidRPr="006F546F">
        <w:t>10</w:t>
      </w:r>
      <w:r w:rsidR="00035BF4" w:rsidRPr="006F546F">
        <w:rPr>
          <w:w w:val="0"/>
        </w:rPr>
        <w:t>.</w:t>
      </w:r>
      <w:r w:rsidR="00035BF4" w:rsidRPr="006F546F">
        <w:tab/>
        <w:t xml:space="preserve">See Table 2.5 showing financial statement data and stock price data for </w:t>
      </w:r>
      <w:proofErr w:type="spellStart"/>
      <w:r w:rsidR="00035BF4" w:rsidRPr="006F546F">
        <w:t>Mydeco</w:t>
      </w:r>
      <w:proofErr w:type="spellEnd"/>
      <w:r w:rsidR="00035BF4" w:rsidRPr="006F546F">
        <w:t xml:space="preserve"> Corp. Suppose </w:t>
      </w:r>
      <w:proofErr w:type="spellStart"/>
      <w:r w:rsidR="00035BF4" w:rsidRPr="006F546F">
        <w:t>Mydeco</w:t>
      </w:r>
      <w:proofErr w:type="spellEnd"/>
      <w:r w:rsidR="00035BF4" w:rsidRPr="006F546F">
        <w:t xml:space="preserve"> repurchases 2 million shares each year from 2010 to 2013. What would its earnings per share be in 2013?</w:t>
      </w:r>
    </w:p>
    <w:p w:rsidR="00035BF4" w:rsidRPr="00B107BB" w:rsidRDefault="006F546F" w:rsidP="006F546F">
      <w:pPr>
        <w:pStyle w:val="List1"/>
        <w:rPr>
          <w:b/>
        </w:rPr>
      </w:pPr>
      <w:r>
        <w:tab/>
      </w:r>
      <w:r>
        <w:tab/>
      </w:r>
      <w:r w:rsidR="00035BF4">
        <w:t xml:space="preserve">A repurchase does not impact earnings directly, so any change to EPS will come from a reduction in shares outstanding. 2013 shares outstanding = 55 – 4 × 2 = 47 million, </w:t>
      </w:r>
      <w:proofErr w:type="gramStart"/>
      <w:r w:rsidR="00035BF4">
        <w:t xml:space="preserve">EPS </w:t>
      </w:r>
      <w:proofErr w:type="gramEnd"/>
      <w:r w:rsidR="00880DDC" w:rsidRPr="00880DDC">
        <w:rPr>
          <w:position w:val="-22"/>
        </w:rPr>
        <w:object w:dxaOrig="1380" w:dyaOrig="580">
          <v:shape id="_x0000_i1032" type="#_x0000_t75" style="width:69.35pt;height:28.8pt" o:ole="">
            <v:imagedata r:id="rId22" o:title=""/>
          </v:shape>
          <o:OLEObject Type="Embed" ProgID="Equation.DSMT4" ShapeID="_x0000_i1032" DrawAspect="Content" ObjectID="_1458470202" r:id="rId23"/>
        </w:object>
      </w:r>
      <w:r w:rsidR="00035BF4" w:rsidRPr="00500385">
        <w:t>.</w:t>
      </w:r>
    </w:p>
    <w:p w:rsidR="00035BF4" w:rsidRPr="00C33A45" w:rsidRDefault="006F546F" w:rsidP="006F546F">
      <w:pPr>
        <w:pStyle w:val="Question"/>
        <w:keepLines/>
      </w:pPr>
      <w:r w:rsidRPr="006F546F">
        <w:rPr>
          <w:noProof/>
          <w:position w:val="-8"/>
        </w:rPr>
        <w:lastRenderedPageBreak/>
        <w:drawing>
          <wp:inline distT="0" distB="0" distL="0" distR="0">
            <wp:extent cx="298279" cy="210312"/>
            <wp:effectExtent l="19050" t="0" r="6521" b="0"/>
            <wp:docPr id="4"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79" cy="210312"/>
                    </a:xfrm>
                    <a:prstGeom prst="rect">
                      <a:avLst/>
                    </a:prstGeom>
                  </pic:spPr>
                </pic:pic>
              </a:graphicData>
            </a:graphic>
          </wp:inline>
        </w:drawing>
      </w:r>
      <w:r>
        <w:tab/>
      </w:r>
      <w:r w:rsidR="00035BF4">
        <w:t>11</w:t>
      </w:r>
      <w:r w:rsidR="00035BF4" w:rsidRPr="00C33A45">
        <w:rPr>
          <w:w w:val="0"/>
        </w:rPr>
        <w:t>.</w:t>
      </w:r>
      <w:r w:rsidR="00035BF4" w:rsidRPr="00C33A45">
        <w:tab/>
      </w:r>
      <w:r w:rsidR="00035BF4" w:rsidRPr="00031D86">
        <w:t xml:space="preserve">See Table 2.5 showing financial statement data and stock price data for </w:t>
      </w:r>
      <w:proofErr w:type="spellStart"/>
      <w:r w:rsidR="00035BF4" w:rsidRPr="00031D86">
        <w:t>Mydeco</w:t>
      </w:r>
      <w:proofErr w:type="spellEnd"/>
      <w:r w:rsidR="00035BF4" w:rsidRPr="00031D86">
        <w:t xml:space="preserve"> Co</w:t>
      </w:r>
      <w:r w:rsidR="00035BF4">
        <w:t>rp. Sup</w:t>
      </w:r>
      <w:r w:rsidR="00035BF4" w:rsidRPr="00031D86">
        <w:t xml:space="preserve">pose </w:t>
      </w:r>
      <w:proofErr w:type="spellStart"/>
      <w:r w:rsidR="00035BF4" w:rsidRPr="00031D86">
        <w:t>Mydeco</w:t>
      </w:r>
      <w:proofErr w:type="spellEnd"/>
      <w:r w:rsidR="00035BF4" w:rsidRPr="00031D86">
        <w:t xml:space="preserve"> had purchased additional equipment for $12 million at the end of 2010, and this equipment was depreciated by $4 million per year in 2011, 2012, and 2013. Given </w:t>
      </w:r>
      <w:proofErr w:type="spellStart"/>
      <w:r w:rsidR="00035BF4" w:rsidRPr="00031D86">
        <w:t>Mydeco’s</w:t>
      </w:r>
      <w:proofErr w:type="spellEnd"/>
      <w:r w:rsidR="00035BF4" w:rsidRPr="00031D86">
        <w:t xml:space="preserve"> tax rate of 35%, what impact would this additional purchase have had on </w:t>
      </w:r>
      <w:proofErr w:type="spellStart"/>
      <w:r w:rsidR="00035BF4" w:rsidRPr="00031D86">
        <w:t>Mydeco’s</w:t>
      </w:r>
      <w:proofErr w:type="spellEnd"/>
      <w:r w:rsidR="00035BF4" w:rsidRPr="00031D86">
        <w:t xml:space="preserve"> net income in years 2010–2013?</w:t>
      </w:r>
    </w:p>
    <w:p w:rsidR="00035BF4" w:rsidRPr="003B065C" w:rsidRDefault="006F546F" w:rsidP="006F546F">
      <w:pPr>
        <w:pStyle w:val="Question"/>
        <w:rPr>
          <w:b w:val="0"/>
        </w:rPr>
      </w:pPr>
      <w:r w:rsidRPr="003B065C">
        <w:rPr>
          <w:b w:val="0"/>
        </w:rPr>
        <w:tab/>
      </w:r>
      <w:r w:rsidRPr="003B065C">
        <w:rPr>
          <w:b w:val="0"/>
        </w:rPr>
        <w:tab/>
      </w:r>
      <w:r w:rsidR="00035BF4" w:rsidRPr="003B065C">
        <w:rPr>
          <w:b w:val="0"/>
        </w:rPr>
        <w:t>The equipment purchase does not impact net income directly</w:t>
      </w:r>
      <w:r w:rsidR="003B065C">
        <w:rPr>
          <w:b w:val="0"/>
        </w:rPr>
        <w:t>;</w:t>
      </w:r>
      <w:r w:rsidR="00035BF4" w:rsidRPr="003B065C">
        <w:rPr>
          <w:b w:val="0"/>
        </w:rPr>
        <w:t xml:space="preserve"> however</w:t>
      </w:r>
      <w:r w:rsidR="003B065C">
        <w:rPr>
          <w:b w:val="0"/>
        </w:rPr>
        <w:t>,</w:t>
      </w:r>
      <w:r w:rsidR="00035BF4" w:rsidRPr="003B065C">
        <w:rPr>
          <w:b w:val="0"/>
        </w:rPr>
        <w:t xml:space="preserve"> the increased depreciation expense and tax savings changes net income.</w:t>
      </w:r>
    </w:p>
    <w:p w:rsidR="00035BF4" w:rsidRPr="00031D86" w:rsidRDefault="00B92FA2" w:rsidP="006F546F">
      <w:pPr>
        <w:pStyle w:val="Question"/>
        <w:jc w:val="center"/>
      </w:pPr>
      <w:r>
        <w:rPr>
          <w:noProof/>
        </w:rPr>
        <w:drawing>
          <wp:inline distT="0" distB="0" distL="0" distR="0">
            <wp:extent cx="4466849" cy="675250"/>
            <wp:effectExtent l="19050" t="0" r="0" b="0"/>
            <wp:docPr id="64"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69840" cy="675702"/>
                    </a:xfrm>
                    <a:prstGeom prst="rect">
                      <a:avLst/>
                    </a:prstGeom>
                    <a:noFill/>
                    <a:ln>
                      <a:noFill/>
                    </a:ln>
                  </pic:spPr>
                </pic:pic>
              </a:graphicData>
            </a:graphic>
          </wp:inline>
        </w:drawing>
      </w:r>
    </w:p>
    <w:p w:rsidR="00035BF4" w:rsidRPr="00C33A45" w:rsidRDefault="006F546F" w:rsidP="006F546F">
      <w:pPr>
        <w:pStyle w:val="Question"/>
      </w:pPr>
      <w:r w:rsidRPr="006F546F">
        <w:rPr>
          <w:noProof/>
          <w:position w:val="-8"/>
        </w:rPr>
        <w:drawing>
          <wp:inline distT="0" distB="0" distL="0" distR="0">
            <wp:extent cx="298279" cy="210312"/>
            <wp:effectExtent l="19050" t="0" r="6521" b="0"/>
            <wp:docPr id="3"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79" cy="210312"/>
                    </a:xfrm>
                    <a:prstGeom prst="rect">
                      <a:avLst/>
                    </a:prstGeom>
                  </pic:spPr>
                </pic:pic>
              </a:graphicData>
            </a:graphic>
          </wp:inline>
        </w:drawing>
      </w:r>
      <w:r w:rsidRPr="006F546F">
        <w:rPr>
          <w:position w:val="-8"/>
        </w:rPr>
        <w:tab/>
      </w:r>
      <w:r w:rsidR="00035BF4">
        <w:t>12</w:t>
      </w:r>
      <w:r w:rsidR="00035BF4" w:rsidRPr="00C33A45">
        <w:rPr>
          <w:w w:val="0"/>
        </w:rPr>
        <w:t>.</w:t>
      </w:r>
      <w:r w:rsidR="00035BF4" w:rsidRPr="00C33A45">
        <w:tab/>
      </w:r>
      <w:r w:rsidR="00035BF4" w:rsidRPr="00031D86">
        <w:t xml:space="preserve">See Table 2.5 showing financial statement data and stock </w:t>
      </w:r>
      <w:r w:rsidR="00035BF4">
        <w:t xml:space="preserve">price data for </w:t>
      </w:r>
      <w:proofErr w:type="spellStart"/>
      <w:r w:rsidR="00035BF4">
        <w:t>Mydeco</w:t>
      </w:r>
      <w:proofErr w:type="spellEnd"/>
      <w:r w:rsidR="00035BF4">
        <w:t xml:space="preserve"> Corp. Sup</w:t>
      </w:r>
      <w:r w:rsidR="00035BF4" w:rsidRPr="00031D86">
        <w:t xml:space="preserve">pose </w:t>
      </w:r>
      <w:proofErr w:type="spellStart"/>
      <w:r w:rsidR="00035BF4" w:rsidRPr="00031D86">
        <w:t>Mydeco’s</w:t>
      </w:r>
      <w:proofErr w:type="spellEnd"/>
      <w:r w:rsidR="00035BF4" w:rsidRPr="00031D86">
        <w:t xml:space="preserve"> costs and expenses had been the same fraction of revenues in 2010–2013 as they were in 2009. What would </w:t>
      </w:r>
      <w:proofErr w:type="spellStart"/>
      <w:r w:rsidR="00035BF4" w:rsidRPr="00031D86">
        <w:t>Mydeco’s</w:t>
      </w:r>
      <w:proofErr w:type="spellEnd"/>
      <w:r w:rsidR="00035BF4" w:rsidRPr="00031D86">
        <w:t xml:space="preserve"> EPS have been each year in this case?</w:t>
      </w:r>
    </w:p>
    <w:p w:rsidR="00035BF4" w:rsidRPr="003B065C" w:rsidRDefault="006F546F" w:rsidP="006F546F">
      <w:pPr>
        <w:pStyle w:val="Question"/>
        <w:rPr>
          <w:b w:val="0"/>
        </w:rPr>
      </w:pPr>
      <w:r w:rsidRPr="003B065C">
        <w:rPr>
          <w:b w:val="0"/>
        </w:rPr>
        <w:tab/>
      </w:r>
      <w:r w:rsidRPr="003B065C">
        <w:rPr>
          <w:b w:val="0"/>
        </w:rPr>
        <w:tab/>
      </w:r>
      <w:r w:rsidR="00035BF4" w:rsidRPr="003B065C">
        <w:rPr>
          <w:b w:val="0"/>
        </w:rPr>
        <w:t xml:space="preserve">If </w:t>
      </w:r>
      <w:proofErr w:type="spellStart"/>
      <w:r w:rsidR="00035BF4" w:rsidRPr="003B065C">
        <w:rPr>
          <w:b w:val="0"/>
        </w:rPr>
        <w:t>Mydeco’s</w:t>
      </w:r>
      <w:proofErr w:type="spellEnd"/>
      <w:r w:rsidR="00035BF4" w:rsidRPr="003B065C">
        <w:rPr>
          <w:b w:val="0"/>
        </w:rPr>
        <w:t xml:space="preserve"> costs and expenses had been the same fraction of revenues in 2010–2013 as they were in</w:t>
      </w:r>
      <w:bookmarkStart w:id="0" w:name="_GoBack"/>
      <w:bookmarkEnd w:id="0"/>
      <w:r w:rsidR="00035BF4" w:rsidRPr="003B065C">
        <w:rPr>
          <w:b w:val="0"/>
        </w:rPr>
        <w:t xml:space="preserve"> 2009, then their net profit margins would have been equal.</w:t>
      </w:r>
    </w:p>
    <w:p w:rsidR="00035BF4" w:rsidRDefault="00035BF4" w:rsidP="006F546F">
      <w:pPr>
        <w:pStyle w:val="Question"/>
        <w:jc w:val="center"/>
      </w:pPr>
      <w:r>
        <w:t>2009 net profit margin</w:t>
      </w:r>
      <w:r w:rsidR="00880DDC" w:rsidRPr="00880DDC">
        <w:rPr>
          <w:position w:val="-22"/>
        </w:rPr>
        <w:object w:dxaOrig="1560" w:dyaOrig="580">
          <v:shape id="_x0000_i1033" type="#_x0000_t75" style="width:78.05pt;height:28.8pt" o:ole="">
            <v:imagedata r:id="rId25" o:title=""/>
          </v:shape>
          <o:OLEObject Type="Embed" ProgID="Equation.DSMT4" ShapeID="_x0000_i1033" DrawAspect="Content" ObjectID="_1458470203" r:id="rId26"/>
        </w:object>
      </w:r>
      <w:r w:rsidRPr="004C5E5B">
        <w:t>.</w:t>
      </w:r>
    </w:p>
    <w:p w:rsidR="00035BF4" w:rsidRPr="006249AE" w:rsidRDefault="00B92FA2" w:rsidP="003B065C">
      <w:pPr>
        <w:pStyle w:val="Question"/>
        <w:ind w:hanging="7"/>
        <w:jc w:val="center"/>
      </w:pPr>
      <w:r>
        <w:rPr>
          <w:noProof/>
        </w:rPr>
        <w:drawing>
          <wp:inline distT="0" distB="0" distL="0" distR="0">
            <wp:extent cx="5026553" cy="781243"/>
            <wp:effectExtent l="19050" t="0" r="2647" b="0"/>
            <wp:docPr id="66"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31257" cy="781974"/>
                    </a:xfrm>
                    <a:prstGeom prst="rect">
                      <a:avLst/>
                    </a:prstGeom>
                    <a:noFill/>
                    <a:ln>
                      <a:noFill/>
                    </a:ln>
                  </pic:spPr>
                </pic:pic>
              </a:graphicData>
            </a:graphic>
          </wp:inline>
        </w:drawing>
      </w:r>
    </w:p>
    <w:p w:rsidR="00035BF4" w:rsidRDefault="00D649AA" w:rsidP="00035BF4">
      <w:pPr>
        <w:pStyle w:val="List1-1"/>
        <w:spacing w:line="240" w:lineRule="exact"/>
      </w:pPr>
      <w:r>
        <w:rPr>
          <w:b/>
        </w:rPr>
        <w:tab/>
      </w:r>
      <w:r w:rsidR="00035BF4">
        <w:rPr>
          <w:b/>
        </w:rPr>
        <w:t>13.</w:t>
      </w:r>
      <w:r w:rsidR="00035BF4">
        <w:rPr>
          <w:b/>
        </w:rPr>
        <w:tab/>
      </w:r>
      <w:proofErr w:type="gramStart"/>
      <w:r w:rsidR="00035BF4">
        <w:rPr>
          <w:bCs/>
        </w:rPr>
        <w:t>a</w:t>
      </w:r>
      <w:proofErr w:type="gramEnd"/>
      <w:r w:rsidR="00035BF4">
        <w:rPr>
          <w:bCs/>
        </w:rPr>
        <w:t>.</w:t>
      </w:r>
      <w:r w:rsidR="00035BF4">
        <w:rPr>
          <w:b/>
        </w:rPr>
        <w:tab/>
      </w:r>
      <w:r w:rsidR="00035BF4">
        <w:t>A</w:t>
      </w:r>
      <w:r w:rsidR="00035BF4">
        <w:rPr>
          <w:spacing w:val="-2"/>
        </w:rPr>
        <w:t xml:space="preserve"> $10 million operating expense would be immediately expensed, increasing operating expen</w:t>
      </w:r>
      <w:r w:rsidR="00035BF4">
        <w:t xml:space="preserve">ses by $10 million. This would lead to a reduction in taxes of 35% </w:t>
      </w:r>
      <w:r w:rsidR="00035BF4">
        <w:sym w:font="Symbol" w:char="F0B4"/>
      </w:r>
      <w:r w:rsidR="00035BF4">
        <w:t xml:space="preserve"> $10 million </w:t>
      </w:r>
      <w:r w:rsidR="00035BF4">
        <w:rPr>
          <w:rFonts w:ascii="Symbol" w:hAnsi="Symbol"/>
        </w:rPr>
        <w:t></w:t>
      </w:r>
      <w:r w:rsidR="00035BF4">
        <w:t xml:space="preserve"> </w:t>
      </w:r>
      <w:r w:rsidR="00035BF4">
        <w:br/>
        <w:t xml:space="preserve">$3.5 million. Thus, earnings would decline by 10 </w:t>
      </w:r>
      <w:r w:rsidR="00035BF4">
        <w:rPr>
          <w:rFonts w:ascii="Symbol" w:hAnsi="Symbol"/>
        </w:rPr>
        <w:t></w:t>
      </w:r>
      <w:r w:rsidR="00035BF4">
        <w:t xml:space="preserve"> 3.5 </w:t>
      </w:r>
      <w:r w:rsidR="00035BF4">
        <w:rPr>
          <w:rFonts w:ascii="Symbol" w:hAnsi="Symbol"/>
        </w:rPr>
        <w:t></w:t>
      </w:r>
      <w:r w:rsidR="00035BF4">
        <w:t xml:space="preserve"> $6.5 million. There would be no effect on next year’s earnings.</w:t>
      </w:r>
    </w:p>
    <w:p w:rsidR="00035BF4" w:rsidRDefault="00035BF4" w:rsidP="00035BF4">
      <w:pPr>
        <w:pStyle w:val="List2"/>
        <w:spacing w:line="240" w:lineRule="exact"/>
        <w:ind w:left="1209"/>
      </w:pPr>
      <w:r>
        <w:t>b.</w:t>
      </w:r>
      <w:r>
        <w:tab/>
        <w:t xml:space="preserve">Capital expenses do not affect earnings directly. However, the depreciation of $2 million would appear each year as an operating expense. With a reduction in taxes of 2 </w:t>
      </w:r>
      <w:r>
        <w:sym w:font="Symbol" w:char="F0B4"/>
      </w:r>
      <w:r>
        <w:t xml:space="preserve"> 35% </w:t>
      </w:r>
      <w:r>
        <w:rPr>
          <w:rFonts w:ascii="Symbol" w:hAnsi="Symbol"/>
        </w:rPr>
        <w:t></w:t>
      </w:r>
      <w:r>
        <w:t xml:space="preserve"> </w:t>
      </w:r>
      <w:r>
        <w:br/>
      </w:r>
      <w:r>
        <w:rPr>
          <w:spacing w:val="-2"/>
        </w:rPr>
        <w:t xml:space="preserve">$0.7 million, earnings would be lower by 2 </w:t>
      </w:r>
      <w:r>
        <w:rPr>
          <w:rFonts w:ascii="Symbol" w:hAnsi="Symbol"/>
          <w:spacing w:val="-2"/>
        </w:rPr>
        <w:t></w:t>
      </w:r>
      <w:r>
        <w:rPr>
          <w:spacing w:val="-2"/>
        </w:rPr>
        <w:t xml:space="preserve"> 0.7 </w:t>
      </w:r>
      <w:r>
        <w:rPr>
          <w:rFonts w:ascii="Symbol" w:hAnsi="Symbol"/>
          <w:spacing w:val="-2"/>
        </w:rPr>
        <w:t></w:t>
      </w:r>
      <w:r>
        <w:rPr>
          <w:spacing w:val="-2"/>
        </w:rPr>
        <w:t xml:space="preserve"> $1.3 million for each of the next </w:t>
      </w:r>
      <w:r w:rsidR="003B065C">
        <w:rPr>
          <w:spacing w:val="-2"/>
        </w:rPr>
        <w:t xml:space="preserve">five </w:t>
      </w:r>
      <w:r>
        <w:rPr>
          <w:spacing w:val="-2"/>
        </w:rPr>
        <w:t>years.</w:t>
      </w:r>
    </w:p>
    <w:p w:rsidR="00035BF4" w:rsidRDefault="00035BF4" w:rsidP="00035BF4">
      <w:pPr>
        <w:pStyle w:val="List1"/>
      </w:pPr>
      <w:r>
        <w:rPr>
          <w:b/>
        </w:rPr>
        <w:tab/>
        <w:t xml:space="preserve">*14. </w:t>
      </w:r>
      <w:r>
        <w:rPr>
          <w:b/>
        </w:rPr>
        <w:tab/>
        <w:t>Plan:</w:t>
      </w:r>
      <w:r w:rsidR="00106723">
        <w:t xml:space="preserve"> </w:t>
      </w:r>
      <w:proofErr w:type="spellStart"/>
      <w:r>
        <w:t>Quisco</w:t>
      </w:r>
      <w:proofErr w:type="spellEnd"/>
      <w:r>
        <w:t xml:space="preserve"> Systems wishes to acquire a new networking technology and is confronted with a common business problem: whether to develop the technology itself in-house or to acquire another company that already has the technology. </w:t>
      </w:r>
      <w:proofErr w:type="spellStart"/>
      <w:r>
        <w:t>Quisco</w:t>
      </w:r>
      <w:proofErr w:type="spellEnd"/>
      <w:r>
        <w:t xml:space="preserve"> must perform a comprehensive analysis of each option, not just comparing internal development costs versus acquisition costs, but considering tax implications as well. </w:t>
      </w:r>
    </w:p>
    <w:p w:rsidR="00035BF4" w:rsidRDefault="00035BF4" w:rsidP="00035BF4">
      <w:pPr>
        <w:pStyle w:val="List1"/>
        <w:spacing w:before="160"/>
        <w:rPr>
          <w:b/>
          <w:bCs/>
        </w:rPr>
      </w:pPr>
      <w:r>
        <w:tab/>
      </w:r>
      <w:r>
        <w:tab/>
      </w:r>
      <w:r>
        <w:rPr>
          <w:b/>
          <w:bCs/>
        </w:rPr>
        <w:t>Execute:</w:t>
      </w:r>
    </w:p>
    <w:p w:rsidR="00035BF4" w:rsidRDefault="00035BF4" w:rsidP="00035BF4">
      <w:pPr>
        <w:pStyle w:val="List2"/>
      </w:pPr>
      <w:r>
        <w:t>a.</w:t>
      </w:r>
      <w:r>
        <w:tab/>
        <w:t xml:space="preserve">If </w:t>
      </w:r>
      <w:proofErr w:type="spellStart"/>
      <w:r>
        <w:t>Quisco</w:t>
      </w:r>
      <w:proofErr w:type="spellEnd"/>
      <w:r>
        <w:t xml:space="preserve"> develops the product in-house, its earnings would fall by $500 </w:t>
      </w:r>
      <w:r>
        <w:rPr>
          <w:rFonts w:ascii="Symbol" w:hAnsi="Symbol"/>
        </w:rPr>
        <w:sym w:font="Symbol" w:char="F0B4"/>
      </w:r>
      <w:r>
        <w:t xml:space="preserve"> (1 </w:t>
      </w:r>
      <w:r>
        <w:rPr>
          <w:rFonts w:ascii="Symbol" w:hAnsi="Symbol"/>
        </w:rPr>
        <w:t></w:t>
      </w:r>
      <w:r>
        <w:t xml:space="preserve"> 35%) </w:t>
      </w:r>
      <w:r>
        <w:rPr>
          <w:rFonts w:ascii="Symbol" w:hAnsi="Symbol"/>
        </w:rPr>
        <w:t></w:t>
      </w:r>
      <w:r>
        <w:t xml:space="preserve"> </w:t>
      </w:r>
      <w:r>
        <w:br/>
        <w:t xml:space="preserve">$325 million. With no change to the number of shares outstanding, its EPS would decrease </w:t>
      </w:r>
      <w:r>
        <w:br/>
        <w:t>by $0.05</w:t>
      </w:r>
      <w:r w:rsidR="00880DDC" w:rsidRPr="00880DDC">
        <w:rPr>
          <w:position w:val="-6"/>
        </w:rPr>
        <w:object w:dxaOrig="1180" w:dyaOrig="279">
          <v:shape id="_x0000_i1034" type="#_x0000_t75" style="width:59.1pt;height:14pt" o:ole="">
            <v:imagedata r:id="rId28" o:title=""/>
          </v:shape>
          <o:OLEObject Type="Embed" ProgID="Equation.DSMT4" ShapeID="_x0000_i1034" DrawAspect="Content" ObjectID="_1458470204" r:id="rId29"/>
        </w:object>
      </w:r>
      <w:r>
        <w:t xml:space="preserve"> to $0.75. (Assume the new product would not change this year’s revenues.)</w:t>
      </w:r>
    </w:p>
    <w:p w:rsidR="00035BF4" w:rsidRDefault="00035BF4" w:rsidP="00035BF4">
      <w:pPr>
        <w:pStyle w:val="List2"/>
        <w:spacing w:line="240" w:lineRule="exact"/>
      </w:pPr>
      <w:r>
        <w:t>b.</w:t>
      </w:r>
      <w:r>
        <w:tab/>
        <w:t xml:space="preserve">If </w:t>
      </w:r>
      <w:proofErr w:type="spellStart"/>
      <w:r>
        <w:t>Quisco</w:t>
      </w:r>
      <w:proofErr w:type="spellEnd"/>
      <w:r>
        <w:t xml:space="preserve"> acquires the technology for $900 million worth of its stock, it will issue $900/18 </w:t>
      </w:r>
      <w:r>
        <w:rPr>
          <w:rFonts w:ascii="Symbol" w:hAnsi="Symbol"/>
        </w:rPr>
        <w:t></w:t>
      </w:r>
      <w:r>
        <w:t xml:space="preserve"> </w:t>
      </w:r>
      <w:r>
        <w:br/>
        <w:t xml:space="preserve">50 million new shares. </w:t>
      </w:r>
      <w:r w:rsidR="003B065C">
        <w:t xml:space="preserve">Because </w:t>
      </w:r>
      <w:r>
        <w:t xml:space="preserve">earnings without this transaction are $0.80 </w:t>
      </w:r>
      <w:r>
        <w:sym w:font="Symbol" w:char="F0B4"/>
      </w:r>
      <w:r>
        <w:t xml:space="preserve"> 6.5 billion </w:t>
      </w:r>
      <w:r>
        <w:rPr>
          <w:rFonts w:ascii="Symbol" w:hAnsi="Symbol"/>
        </w:rPr>
        <w:t></w:t>
      </w:r>
      <w:r>
        <w:t xml:space="preserve"> $5.2 billion, its EPS with the purchase is</w:t>
      </w:r>
      <w:r w:rsidR="00880DDC" w:rsidRPr="00880DDC">
        <w:rPr>
          <w:position w:val="-6"/>
        </w:rPr>
        <w:object w:dxaOrig="1640" w:dyaOrig="279">
          <v:shape id="_x0000_i1035" type="#_x0000_t75" style="width:81.85pt;height:14pt" o:ole="">
            <v:imagedata r:id="rId30" o:title=""/>
          </v:shape>
          <o:OLEObject Type="Embed" ProgID="Equation.DSMT4" ShapeID="_x0000_i1035" DrawAspect="Content" ObjectID="_1458470205" r:id="rId31"/>
        </w:object>
      </w:r>
    </w:p>
    <w:p w:rsidR="00035BF4" w:rsidRDefault="00035BF4" w:rsidP="00035BF4">
      <w:pPr>
        <w:pStyle w:val="List1"/>
        <w:spacing w:before="160"/>
      </w:pPr>
      <w:r>
        <w:lastRenderedPageBreak/>
        <w:tab/>
      </w:r>
      <w:r>
        <w:rPr>
          <w:b/>
          <w:bCs/>
        </w:rPr>
        <w:tab/>
        <w:t>Evaluate:</w:t>
      </w:r>
      <w:r w:rsidR="00106723">
        <w:t xml:space="preserve"> </w:t>
      </w:r>
      <w:r>
        <w:t xml:space="preserve">Acquiring the technology would have a smaller impact on earnings. But this method is not cheaper. Developing it in-house is less costly and provides an immediate tax benefit. </w:t>
      </w:r>
      <w:r>
        <w:br/>
        <w:t xml:space="preserve">The earnings impact is not a good measure of the expense. In addition, note that because the acquisition permanently increases the number of shares outstanding, it will reduce </w:t>
      </w:r>
      <w:proofErr w:type="spellStart"/>
      <w:r>
        <w:t>Quisco’s</w:t>
      </w:r>
      <w:proofErr w:type="spellEnd"/>
      <w:r>
        <w:t xml:space="preserve"> earnings per share in future years as well.</w:t>
      </w:r>
    </w:p>
    <w:p w:rsidR="00035BF4" w:rsidRDefault="00035BF4" w:rsidP="006F546F">
      <w:pPr>
        <w:pStyle w:val="List1-1"/>
      </w:pPr>
      <w:r>
        <w:rPr>
          <w:b/>
        </w:rPr>
        <w:tab/>
        <w:t>15.</w:t>
      </w:r>
      <w:r>
        <w:rPr>
          <w:b/>
        </w:rPr>
        <w:tab/>
      </w:r>
      <w:r>
        <w:t>a.</w:t>
      </w:r>
      <w:r>
        <w:tab/>
        <w:t>Net cash provided by operating activities was $482.94 million in 2012.</w:t>
      </w:r>
    </w:p>
    <w:p w:rsidR="00035BF4" w:rsidRDefault="00035BF4" w:rsidP="00035BF4">
      <w:pPr>
        <w:pStyle w:val="List2"/>
      </w:pPr>
      <w:r>
        <w:t>b.</w:t>
      </w:r>
      <w:r>
        <w:tab/>
        <w:t>Depreciation expense was $135.66 million in 2012.</w:t>
      </w:r>
    </w:p>
    <w:p w:rsidR="00035BF4" w:rsidRDefault="00035BF4" w:rsidP="00035BF4">
      <w:pPr>
        <w:pStyle w:val="List2"/>
      </w:pPr>
      <w:r>
        <w:t>c.</w:t>
      </w:r>
      <w:r>
        <w:tab/>
        <w:t xml:space="preserve">Net cash used in new property and equipment was $401.12 million </w:t>
      </w:r>
      <w:r w:rsidR="003B065C">
        <w:t xml:space="preserve">– </w:t>
      </w:r>
      <w:r>
        <w:t>$135.48 million = $265.64 million in 2012.</w:t>
      </w:r>
    </w:p>
    <w:p w:rsidR="00035BF4" w:rsidRDefault="00035BF4" w:rsidP="00035BF4">
      <w:pPr>
        <w:pStyle w:val="List2"/>
      </w:pPr>
      <w:r>
        <w:t>d.</w:t>
      </w:r>
      <w:r>
        <w:tab/>
        <w:t>GMCR raised $12.092 million from sale of shares of its stock (under compensation plans), while it spent $76.47 million on the repurchase of common stock. GMCR raised –$64.378 million from the sale of its shares of stock (net of any purchases).</w:t>
      </w:r>
    </w:p>
    <w:p w:rsidR="00035BF4" w:rsidRDefault="006F546F" w:rsidP="006F546F">
      <w:pPr>
        <w:pStyle w:val="List1-1"/>
      </w:pPr>
      <w:r w:rsidRPr="006F546F">
        <w:rPr>
          <w:b/>
          <w:noProof/>
          <w:position w:val="-8"/>
        </w:rPr>
        <w:drawing>
          <wp:inline distT="0" distB="0" distL="0" distR="0">
            <wp:extent cx="298279" cy="210312"/>
            <wp:effectExtent l="19050" t="0" r="6521" b="0"/>
            <wp:docPr id="5"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79" cy="210312"/>
                    </a:xfrm>
                    <a:prstGeom prst="rect">
                      <a:avLst/>
                    </a:prstGeom>
                  </pic:spPr>
                </pic:pic>
              </a:graphicData>
            </a:graphic>
          </wp:inline>
        </w:drawing>
      </w:r>
      <w:r w:rsidRPr="006F546F">
        <w:rPr>
          <w:b/>
          <w:position w:val="-8"/>
        </w:rPr>
        <w:tab/>
      </w:r>
      <w:r w:rsidR="00035BF4">
        <w:rPr>
          <w:b/>
        </w:rPr>
        <w:t>16.</w:t>
      </w:r>
      <w:r w:rsidR="00035BF4">
        <w:rPr>
          <w:b/>
        </w:rPr>
        <w:tab/>
      </w:r>
      <w:proofErr w:type="gramStart"/>
      <w:r w:rsidR="00035BF4">
        <w:t>a</w:t>
      </w:r>
      <w:proofErr w:type="gramEnd"/>
      <w:r w:rsidR="00035BF4">
        <w:t>.</w:t>
      </w:r>
      <w:r w:rsidR="00035BF4">
        <w:tab/>
        <w:t xml:space="preserve">The company’s cumulative earnings over these </w:t>
      </w:r>
      <w:r w:rsidR="003B065C">
        <w:t xml:space="preserve">four </w:t>
      </w:r>
      <w:r w:rsidR="00035BF4">
        <w:t xml:space="preserve">quarters </w:t>
      </w:r>
      <w:r w:rsidR="003B065C">
        <w:t xml:space="preserve">were </w:t>
      </w:r>
      <w:r w:rsidR="00035BF4">
        <w:t xml:space="preserve">$918.268 million. Its cumulative cash flows from operating activities </w:t>
      </w:r>
      <w:r w:rsidR="003B065C">
        <w:t xml:space="preserve">were </w:t>
      </w:r>
      <w:r w:rsidR="00035BF4">
        <w:t>$1.186 billion.</w:t>
      </w:r>
    </w:p>
    <w:p w:rsidR="00035BF4" w:rsidRDefault="00035BF4" w:rsidP="00035BF4">
      <w:pPr>
        <w:pStyle w:val="List2"/>
        <w:spacing w:after="160"/>
        <w:ind w:left="1209"/>
      </w:pPr>
      <w:r>
        <w:t>b.</w:t>
      </w:r>
      <w:r>
        <w:tab/>
        <w:t xml:space="preserve">Fraction of cash from operating activities used for investment over the </w:t>
      </w:r>
      <w:r w:rsidR="003B065C">
        <w:t xml:space="preserve">four </w:t>
      </w:r>
      <w:r>
        <w:t>quarters:</w:t>
      </w:r>
    </w:p>
    <w:tbl>
      <w:tblPr>
        <w:tblW w:w="7992" w:type="dxa"/>
        <w:tblInd w:w="1332" w:type="dxa"/>
        <w:tblBorders>
          <w:top w:val="single" w:sz="6" w:space="0" w:color="000000"/>
        </w:tblBorders>
        <w:tblLayout w:type="fixed"/>
        <w:tblLook w:val="00A0"/>
      </w:tblPr>
      <w:tblGrid>
        <w:gridCol w:w="2016"/>
        <w:gridCol w:w="1141"/>
        <w:gridCol w:w="1141"/>
        <w:gridCol w:w="1363"/>
        <w:gridCol w:w="1143"/>
        <w:gridCol w:w="1188"/>
      </w:tblGrid>
      <w:tr w:rsidR="00035BF4" w:rsidTr="002E139B">
        <w:trPr>
          <w:trHeight w:val="288"/>
        </w:trPr>
        <w:tc>
          <w:tcPr>
            <w:tcW w:w="2016" w:type="dxa"/>
            <w:tcBorders>
              <w:top w:val="nil"/>
              <w:bottom w:val="single" w:sz="6" w:space="0" w:color="000000"/>
            </w:tcBorders>
            <w:vAlign w:val="bottom"/>
          </w:tcPr>
          <w:p w:rsidR="00035BF4" w:rsidRDefault="00035BF4" w:rsidP="002E139B">
            <w:pPr>
              <w:pStyle w:val="T1"/>
              <w:spacing w:before="40" w:after="40"/>
            </w:pPr>
          </w:p>
        </w:tc>
        <w:tc>
          <w:tcPr>
            <w:tcW w:w="1141" w:type="dxa"/>
            <w:tcBorders>
              <w:top w:val="nil"/>
              <w:bottom w:val="single" w:sz="6" w:space="0" w:color="000000"/>
            </w:tcBorders>
            <w:vAlign w:val="bottom"/>
          </w:tcPr>
          <w:p w:rsidR="00035BF4" w:rsidRDefault="00035BF4" w:rsidP="002E139B">
            <w:pPr>
              <w:pStyle w:val="T1"/>
              <w:spacing w:before="40" w:after="40"/>
              <w:jc w:val="center"/>
              <w:rPr>
                <w:bCs/>
              </w:rPr>
            </w:pPr>
            <w:r>
              <w:rPr>
                <w:bCs/>
              </w:rPr>
              <w:t>4</w:t>
            </w:r>
          </w:p>
        </w:tc>
        <w:tc>
          <w:tcPr>
            <w:tcW w:w="1141" w:type="dxa"/>
            <w:tcBorders>
              <w:top w:val="nil"/>
              <w:bottom w:val="single" w:sz="6" w:space="0" w:color="000000"/>
            </w:tcBorders>
            <w:vAlign w:val="bottom"/>
          </w:tcPr>
          <w:p w:rsidR="00035BF4" w:rsidRDefault="00035BF4" w:rsidP="002E139B">
            <w:pPr>
              <w:pStyle w:val="T1"/>
              <w:spacing w:before="40" w:after="40"/>
              <w:jc w:val="center"/>
              <w:rPr>
                <w:bCs/>
              </w:rPr>
            </w:pPr>
            <w:r>
              <w:rPr>
                <w:bCs/>
              </w:rPr>
              <w:t>3</w:t>
            </w:r>
          </w:p>
        </w:tc>
        <w:tc>
          <w:tcPr>
            <w:tcW w:w="1363" w:type="dxa"/>
            <w:tcBorders>
              <w:top w:val="nil"/>
              <w:bottom w:val="single" w:sz="6" w:space="0" w:color="000000"/>
            </w:tcBorders>
            <w:vAlign w:val="bottom"/>
          </w:tcPr>
          <w:p w:rsidR="00035BF4" w:rsidRDefault="00035BF4" w:rsidP="002E139B">
            <w:pPr>
              <w:pStyle w:val="T1"/>
              <w:spacing w:before="40" w:after="40"/>
              <w:jc w:val="center"/>
              <w:rPr>
                <w:bCs/>
              </w:rPr>
            </w:pPr>
            <w:r>
              <w:rPr>
                <w:bCs/>
              </w:rPr>
              <w:t>2</w:t>
            </w:r>
          </w:p>
        </w:tc>
        <w:tc>
          <w:tcPr>
            <w:tcW w:w="1143" w:type="dxa"/>
            <w:tcBorders>
              <w:top w:val="nil"/>
              <w:bottom w:val="single" w:sz="6" w:space="0" w:color="000000"/>
            </w:tcBorders>
            <w:vAlign w:val="bottom"/>
          </w:tcPr>
          <w:p w:rsidR="00035BF4" w:rsidRDefault="00035BF4" w:rsidP="002E139B">
            <w:pPr>
              <w:pStyle w:val="T1"/>
              <w:spacing w:before="40" w:after="40"/>
              <w:jc w:val="center"/>
              <w:rPr>
                <w:bCs/>
              </w:rPr>
            </w:pPr>
            <w:r>
              <w:rPr>
                <w:bCs/>
              </w:rPr>
              <w:t>1</w:t>
            </w:r>
          </w:p>
        </w:tc>
        <w:tc>
          <w:tcPr>
            <w:tcW w:w="1188" w:type="dxa"/>
            <w:tcBorders>
              <w:top w:val="nil"/>
              <w:bottom w:val="single" w:sz="6" w:space="0" w:color="000000"/>
            </w:tcBorders>
            <w:vAlign w:val="bottom"/>
          </w:tcPr>
          <w:p w:rsidR="00035BF4" w:rsidRDefault="00035BF4" w:rsidP="002E139B">
            <w:pPr>
              <w:pStyle w:val="T1"/>
              <w:spacing w:before="40" w:after="40"/>
              <w:jc w:val="center"/>
              <w:rPr>
                <w:bCs/>
              </w:rPr>
            </w:pPr>
            <w:r>
              <w:rPr>
                <w:bCs/>
              </w:rPr>
              <w:t>4 Quarters</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Operating Activities</w:t>
            </w:r>
          </w:p>
        </w:tc>
        <w:tc>
          <w:tcPr>
            <w:tcW w:w="1141" w:type="dxa"/>
            <w:vAlign w:val="bottom"/>
          </w:tcPr>
          <w:p w:rsidR="00035BF4" w:rsidRDefault="00035BF4" w:rsidP="002E139B">
            <w:pPr>
              <w:pStyle w:val="T1"/>
              <w:spacing w:before="40" w:after="40"/>
              <w:rPr>
                <w:bCs/>
              </w:rPr>
            </w:pPr>
            <w:r>
              <w:rPr>
                <w:bCs/>
              </w:rPr>
              <w:t>227,502</w:t>
            </w:r>
          </w:p>
        </w:tc>
        <w:tc>
          <w:tcPr>
            <w:tcW w:w="1141" w:type="dxa"/>
            <w:vAlign w:val="bottom"/>
          </w:tcPr>
          <w:p w:rsidR="00035BF4" w:rsidRDefault="00035BF4" w:rsidP="002E139B">
            <w:pPr>
              <w:pStyle w:val="T1"/>
              <w:spacing w:before="40" w:after="40"/>
              <w:rPr>
                <w:bCs/>
              </w:rPr>
            </w:pPr>
            <w:r>
              <w:rPr>
                <w:bCs/>
              </w:rPr>
              <w:t>–13,935</w:t>
            </w:r>
          </w:p>
        </w:tc>
        <w:tc>
          <w:tcPr>
            <w:tcW w:w="1363" w:type="dxa"/>
            <w:vAlign w:val="bottom"/>
          </w:tcPr>
          <w:p w:rsidR="00035BF4" w:rsidRDefault="00035BF4" w:rsidP="002E139B">
            <w:pPr>
              <w:pStyle w:val="T1"/>
              <w:spacing w:before="40" w:after="40"/>
              <w:rPr>
                <w:bCs/>
              </w:rPr>
            </w:pPr>
            <w:r>
              <w:rPr>
                <w:bCs/>
              </w:rPr>
              <w:t>717,635</w:t>
            </w:r>
          </w:p>
        </w:tc>
        <w:tc>
          <w:tcPr>
            <w:tcW w:w="1143" w:type="dxa"/>
            <w:vAlign w:val="bottom"/>
          </w:tcPr>
          <w:p w:rsidR="00035BF4" w:rsidRDefault="00035BF4" w:rsidP="002E139B">
            <w:pPr>
              <w:pStyle w:val="T1"/>
              <w:spacing w:before="40" w:after="40"/>
              <w:rPr>
                <w:bCs/>
              </w:rPr>
            </w:pPr>
            <w:r>
              <w:rPr>
                <w:bCs/>
              </w:rPr>
              <w:t>254,534</w:t>
            </w:r>
          </w:p>
        </w:tc>
        <w:tc>
          <w:tcPr>
            <w:tcW w:w="1188" w:type="dxa"/>
            <w:vAlign w:val="bottom"/>
          </w:tcPr>
          <w:p w:rsidR="00035BF4" w:rsidRDefault="00035BF4" w:rsidP="002E139B">
            <w:pPr>
              <w:pStyle w:val="T1"/>
              <w:spacing w:before="40" w:after="40"/>
              <w:rPr>
                <w:bCs/>
              </w:rPr>
            </w:pPr>
            <w:r>
              <w:rPr>
                <w:bCs/>
              </w:rPr>
              <w:t>1,185,736</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Investing Activities</w:t>
            </w:r>
          </w:p>
        </w:tc>
        <w:tc>
          <w:tcPr>
            <w:tcW w:w="1141" w:type="dxa"/>
            <w:vAlign w:val="bottom"/>
          </w:tcPr>
          <w:p w:rsidR="00035BF4" w:rsidRDefault="00035BF4" w:rsidP="002E139B">
            <w:pPr>
              <w:pStyle w:val="T1"/>
              <w:spacing w:before="40" w:after="40"/>
              <w:rPr>
                <w:bCs/>
              </w:rPr>
            </w:pPr>
            <w:r>
              <w:rPr>
                <w:bCs/>
              </w:rPr>
              <w:t>–196,952</w:t>
            </w:r>
          </w:p>
        </w:tc>
        <w:tc>
          <w:tcPr>
            <w:tcW w:w="1141" w:type="dxa"/>
            <w:vAlign w:val="bottom"/>
          </w:tcPr>
          <w:p w:rsidR="00035BF4" w:rsidRDefault="00035BF4" w:rsidP="002E139B">
            <w:pPr>
              <w:pStyle w:val="T1"/>
              <w:spacing w:before="40" w:after="40"/>
              <w:rPr>
                <w:bCs/>
              </w:rPr>
            </w:pPr>
            <w:r>
              <w:rPr>
                <w:bCs/>
              </w:rPr>
              <w:t>–35,437</w:t>
            </w:r>
          </w:p>
        </w:tc>
        <w:tc>
          <w:tcPr>
            <w:tcW w:w="1363" w:type="dxa"/>
            <w:vAlign w:val="bottom"/>
          </w:tcPr>
          <w:p w:rsidR="00035BF4" w:rsidRDefault="00035BF4" w:rsidP="002E139B">
            <w:pPr>
              <w:pStyle w:val="T1"/>
              <w:spacing w:before="40" w:after="40"/>
              <w:rPr>
                <w:bCs/>
              </w:rPr>
            </w:pPr>
            <w:r>
              <w:rPr>
                <w:bCs/>
              </w:rPr>
              <w:t>–251,331</w:t>
            </w:r>
          </w:p>
        </w:tc>
        <w:tc>
          <w:tcPr>
            <w:tcW w:w="1143" w:type="dxa"/>
            <w:vAlign w:val="bottom"/>
          </w:tcPr>
          <w:p w:rsidR="00035BF4" w:rsidRDefault="00035BF4" w:rsidP="002E139B">
            <w:pPr>
              <w:pStyle w:val="T1"/>
              <w:spacing w:before="40" w:after="40"/>
              <w:rPr>
                <w:bCs/>
              </w:rPr>
            </w:pPr>
            <w:r>
              <w:rPr>
                <w:bCs/>
              </w:rPr>
              <w:t>–96,848</w:t>
            </w:r>
          </w:p>
        </w:tc>
        <w:tc>
          <w:tcPr>
            <w:tcW w:w="1188" w:type="dxa"/>
            <w:vAlign w:val="bottom"/>
          </w:tcPr>
          <w:p w:rsidR="00035BF4" w:rsidRDefault="00035BF4" w:rsidP="002E139B">
            <w:pPr>
              <w:pStyle w:val="T1"/>
              <w:spacing w:before="40" w:after="40"/>
              <w:rPr>
                <w:bCs/>
              </w:rPr>
            </w:pPr>
            <w:r>
              <w:rPr>
                <w:bCs/>
              </w:rPr>
              <w:t>–580,568</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CFI/CFO</w:t>
            </w:r>
          </w:p>
        </w:tc>
        <w:tc>
          <w:tcPr>
            <w:tcW w:w="1141" w:type="dxa"/>
            <w:vAlign w:val="bottom"/>
          </w:tcPr>
          <w:p w:rsidR="00035BF4" w:rsidRDefault="00035BF4" w:rsidP="002E139B">
            <w:pPr>
              <w:pStyle w:val="T1"/>
              <w:spacing w:before="40" w:after="40"/>
              <w:rPr>
                <w:bCs/>
              </w:rPr>
            </w:pPr>
            <w:r>
              <w:rPr>
                <w:bCs/>
              </w:rPr>
              <w:t>86.57%</w:t>
            </w:r>
          </w:p>
        </w:tc>
        <w:tc>
          <w:tcPr>
            <w:tcW w:w="1141" w:type="dxa"/>
            <w:vAlign w:val="bottom"/>
          </w:tcPr>
          <w:p w:rsidR="00035BF4" w:rsidRDefault="00035BF4" w:rsidP="002E139B">
            <w:pPr>
              <w:pStyle w:val="T1"/>
              <w:spacing w:before="40" w:after="40"/>
              <w:rPr>
                <w:bCs/>
              </w:rPr>
            </w:pPr>
            <w:r>
              <w:rPr>
                <w:bCs/>
              </w:rPr>
              <w:t>–254.30%</w:t>
            </w:r>
          </w:p>
        </w:tc>
        <w:tc>
          <w:tcPr>
            <w:tcW w:w="1363" w:type="dxa"/>
            <w:vAlign w:val="bottom"/>
          </w:tcPr>
          <w:p w:rsidR="00035BF4" w:rsidRDefault="00035BF4" w:rsidP="002E139B">
            <w:pPr>
              <w:pStyle w:val="T1"/>
              <w:spacing w:before="40" w:after="40"/>
              <w:rPr>
                <w:bCs/>
              </w:rPr>
            </w:pPr>
            <w:r>
              <w:rPr>
                <w:bCs/>
              </w:rPr>
              <w:t>35.02%</w:t>
            </w:r>
          </w:p>
        </w:tc>
        <w:tc>
          <w:tcPr>
            <w:tcW w:w="1143" w:type="dxa"/>
            <w:vAlign w:val="bottom"/>
          </w:tcPr>
          <w:p w:rsidR="00035BF4" w:rsidRDefault="00035BF4" w:rsidP="002E139B">
            <w:pPr>
              <w:pStyle w:val="T1"/>
              <w:spacing w:before="40" w:after="40"/>
              <w:rPr>
                <w:bCs/>
              </w:rPr>
            </w:pPr>
            <w:r>
              <w:rPr>
                <w:bCs/>
              </w:rPr>
              <w:t>38.05%</w:t>
            </w:r>
          </w:p>
        </w:tc>
        <w:tc>
          <w:tcPr>
            <w:tcW w:w="1188" w:type="dxa"/>
            <w:vAlign w:val="bottom"/>
          </w:tcPr>
          <w:p w:rsidR="00035BF4" w:rsidRDefault="00035BF4" w:rsidP="002E139B">
            <w:pPr>
              <w:pStyle w:val="T1"/>
              <w:spacing w:before="40" w:after="40"/>
              <w:rPr>
                <w:bCs/>
              </w:rPr>
            </w:pPr>
            <w:r>
              <w:rPr>
                <w:bCs/>
              </w:rPr>
              <w:t>48.96%</w:t>
            </w:r>
          </w:p>
        </w:tc>
      </w:tr>
    </w:tbl>
    <w:p w:rsidR="00035BF4" w:rsidRDefault="00035BF4" w:rsidP="00035BF4">
      <w:pPr>
        <w:pStyle w:val="List2"/>
        <w:spacing w:before="160"/>
        <w:ind w:left="1209"/>
      </w:pPr>
      <w:proofErr w:type="gramStart"/>
      <w:r>
        <w:t>c</w:t>
      </w:r>
      <w:proofErr w:type="gramEnd"/>
      <w:r>
        <w:t>.</w:t>
      </w:r>
      <w:r>
        <w:tab/>
        <w:t xml:space="preserve">Fraction of cash from operating activities used for financing over the </w:t>
      </w:r>
      <w:r w:rsidR="003B065C">
        <w:t xml:space="preserve">four </w:t>
      </w:r>
      <w:r>
        <w:t>quarters:</w:t>
      </w:r>
    </w:p>
    <w:tbl>
      <w:tblPr>
        <w:tblW w:w="8082" w:type="dxa"/>
        <w:tblInd w:w="1332" w:type="dxa"/>
        <w:tblBorders>
          <w:top w:val="single" w:sz="6" w:space="0" w:color="000000"/>
        </w:tblBorders>
        <w:tblLayout w:type="fixed"/>
        <w:tblLook w:val="00A0"/>
      </w:tblPr>
      <w:tblGrid>
        <w:gridCol w:w="2016"/>
        <w:gridCol w:w="1141"/>
        <w:gridCol w:w="1141"/>
        <w:gridCol w:w="1345"/>
        <w:gridCol w:w="1161"/>
        <w:gridCol w:w="1278"/>
      </w:tblGrid>
      <w:tr w:rsidR="00035BF4" w:rsidTr="002E139B">
        <w:trPr>
          <w:trHeight w:val="288"/>
        </w:trPr>
        <w:tc>
          <w:tcPr>
            <w:tcW w:w="2016" w:type="dxa"/>
            <w:tcBorders>
              <w:top w:val="nil"/>
              <w:bottom w:val="single" w:sz="6" w:space="0" w:color="000000"/>
            </w:tcBorders>
            <w:vAlign w:val="bottom"/>
          </w:tcPr>
          <w:p w:rsidR="00035BF4" w:rsidRDefault="00035BF4" w:rsidP="002E139B">
            <w:pPr>
              <w:pStyle w:val="T1"/>
              <w:spacing w:before="40" w:after="40"/>
            </w:pPr>
          </w:p>
        </w:tc>
        <w:tc>
          <w:tcPr>
            <w:tcW w:w="1141" w:type="dxa"/>
            <w:tcBorders>
              <w:top w:val="nil"/>
              <w:bottom w:val="single" w:sz="6" w:space="0" w:color="000000"/>
            </w:tcBorders>
            <w:vAlign w:val="bottom"/>
          </w:tcPr>
          <w:p w:rsidR="00035BF4" w:rsidRDefault="00035BF4" w:rsidP="002E139B">
            <w:pPr>
              <w:pStyle w:val="T1"/>
              <w:spacing w:before="40" w:after="40"/>
              <w:jc w:val="center"/>
              <w:rPr>
                <w:bCs/>
              </w:rPr>
            </w:pPr>
            <w:r>
              <w:rPr>
                <w:bCs/>
              </w:rPr>
              <w:t>4</w:t>
            </w:r>
          </w:p>
        </w:tc>
        <w:tc>
          <w:tcPr>
            <w:tcW w:w="1141" w:type="dxa"/>
            <w:tcBorders>
              <w:top w:val="nil"/>
              <w:bottom w:val="single" w:sz="6" w:space="0" w:color="000000"/>
            </w:tcBorders>
            <w:vAlign w:val="bottom"/>
          </w:tcPr>
          <w:p w:rsidR="00035BF4" w:rsidRDefault="00035BF4" w:rsidP="002E139B">
            <w:pPr>
              <w:pStyle w:val="T1"/>
              <w:spacing w:before="40" w:after="40"/>
              <w:jc w:val="center"/>
              <w:rPr>
                <w:bCs/>
              </w:rPr>
            </w:pPr>
            <w:r>
              <w:rPr>
                <w:bCs/>
              </w:rPr>
              <w:t>3</w:t>
            </w:r>
          </w:p>
        </w:tc>
        <w:tc>
          <w:tcPr>
            <w:tcW w:w="1345" w:type="dxa"/>
            <w:tcBorders>
              <w:top w:val="nil"/>
              <w:bottom w:val="single" w:sz="6" w:space="0" w:color="000000"/>
            </w:tcBorders>
            <w:vAlign w:val="bottom"/>
          </w:tcPr>
          <w:p w:rsidR="00035BF4" w:rsidRDefault="00035BF4" w:rsidP="002E139B">
            <w:pPr>
              <w:pStyle w:val="T1"/>
              <w:spacing w:before="40" w:after="40"/>
              <w:jc w:val="center"/>
              <w:rPr>
                <w:bCs/>
              </w:rPr>
            </w:pPr>
            <w:r>
              <w:rPr>
                <w:bCs/>
              </w:rPr>
              <w:t>2</w:t>
            </w:r>
          </w:p>
        </w:tc>
        <w:tc>
          <w:tcPr>
            <w:tcW w:w="1161" w:type="dxa"/>
            <w:tcBorders>
              <w:top w:val="nil"/>
              <w:bottom w:val="single" w:sz="6" w:space="0" w:color="000000"/>
            </w:tcBorders>
            <w:vAlign w:val="bottom"/>
          </w:tcPr>
          <w:p w:rsidR="00035BF4" w:rsidRDefault="00035BF4" w:rsidP="002E139B">
            <w:pPr>
              <w:pStyle w:val="T1"/>
              <w:spacing w:before="40" w:after="40"/>
              <w:jc w:val="center"/>
              <w:rPr>
                <w:bCs/>
              </w:rPr>
            </w:pPr>
            <w:r>
              <w:rPr>
                <w:bCs/>
              </w:rPr>
              <w:t>1</w:t>
            </w:r>
          </w:p>
        </w:tc>
        <w:tc>
          <w:tcPr>
            <w:tcW w:w="1278" w:type="dxa"/>
            <w:tcBorders>
              <w:top w:val="nil"/>
              <w:bottom w:val="single" w:sz="6" w:space="0" w:color="000000"/>
            </w:tcBorders>
            <w:vAlign w:val="bottom"/>
          </w:tcPr>
          <w:p w:rsidR="00035BF4" w:rsidRDefault="00035BF4" w:rsidP="002E139B">
            <w:pPr>
              <w:pStyle w:val="T1"/>
              <w:spacing w:before="40" w:after="40"/>
              <w:jc w:val="center"/>
              <w:rPr>
                <w:bCs/>
              </w:rPr>
            </w:pPr>
            <w:r>
              <w:rPr>
                <w:bCs/>
              </w:rPr>
              <w:t>4 Quarters</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Operating Activities</w:t>
            </w:r>
          </w:p>
        </w:tc>
        <w:tc>
          <w:tcPr>
            <w:tcW w:w="1141" w:type="dxa"/>
            <w:vAlign w:val="bottom"/>
          </w:tcPr>
          <w:p w:rsidR="00035BF4" w:rsidRDefault="00035BF4" w:rsidP="002E139B">
            <w:pPr>
              <w:pStyle w:val="T1"/>
              <w:spacing w:before="40" w:after="40"/>
              <w:rPr>
                <w:bCs/>
              </w:rPr>
            </w:pPr>
            <w:r>
              <w:rPr>
                <w:bCs/>
              </w:rPr>
              <w:t>227,502</w:t>
            </w:r>
          </w:p>
        </w:tc>
        <w:tc>
          <w:tcPr>
            <w:tcW w:w="1141" w:type="dxa"/>
            <w:vAlign w:val="bottom"/>
          </w:tcPr>
          <w:p w:rsidR="00035BF4" w:rsidRDefault="00035BF4" w:rsidP="002E139B">
            <w:pPr>
              <w:pStyle w:val="T1"/>
              <w:spacing w:before="40" w:after="40"/>
              <w:rPr>
                <w:bCs/>
              </w:rPr>
            </w:pPr>
            <w:r>
              <w:rPr>
                <w:bCs/>
              </w:rPr>
              <w:t>–13,935</w:t>
            </w:r>
          </w:p>
        </w:tc>
        <w:tc>
          <w:tcPr>
            <w:tcW w:w="1345" w:type="dxa"/>
            <w:vAlign w:val="bottom"/>
          </w:tcPr>
          <w:p w:rsidR="00035BF4" w:rsidRDefault="00035BF4" w:rsidP="002E139B">
            <w:pPr>
              <w:pStyle w:val="T1"/>
              <w:spacing w:before="40" w:after="40"/>
              <w:rPr>
                <w:bCs/>
              </w:rPr>
            </w:pPr>
            <w:r>
              <w:rPr>
                <w:bCs/>
              </w:rPr>
              <w:t>717,635</w:t>
            </w:r>
          </w:p>
        </w:tc>
        <w:tc>
          <w:tcPr>
            <w:tcW w:w="1161" w:type="dxa"/>
            <w:vAlign w:val="bottom"/>
          </w:tcPr>
          <w:p w:rsidR="00035BF4" w:rsidRDefault="00035BF4" w:rsidP="002E139B">
            <w:pPr>
              <w:pStyle w:val="T1"/>
              <w:spacing w:before="40" w:after="40"/>
              <w:rPr>
                <w:bCs/>
              </w:rPr>
            </w:pPr>
            <w:r>
              <w:rPr>
                <w:bCs/>
              </w:rPr>
              <w:t>254,534</w:t>
            </w:r>
          </w:p>
        </w:tc>
        <w:tc>
          <w:tcPr>
            <w:tcW w:w="1278" w:type="dxa"/>
            <w:vAlign w:val="bottom"/>
          </w:tcPr>
          <w:p w:rsidR="00035BF4" w:rsidRDefault="00035BF4" w:rsidP="002E139B">
            <w:pPr>
              <w:pStyle w:val="T1"/>
              <w:spacing w:before="40" w:after="40"/>
              <w:rPr>
                <w:bCs/>
              </w:rPr>
            </w:pPr>
            <w:r>
              <w:rPr>
                <w:bCs/>
              </w:rPr>
              <w:t>1,185,736</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Financing Activities</w:t>
            </w:r>
          </w:p>
        </w:tc>
        <w:tc>
          <w:tcPr>
            <w:tcW w:w="1141" w:type="dxa"/>
            <w:vAlign w:val="bottom"/>
          </w:tcPr>
          <w:p w:rsidR="00035BF4" w:rsidRDefault="00035BF4" w:rsidP="002E139B">
            <w:pPr>
              <w:pStyle w:val="T1"/>
              <w:spacing w:before="40" w:after="40"/>
              <w:rPr>
                <w:bCs/>
              </w:rPr>
            </w:pPr>
            <w:r>
              <w:rPr>
                <w:bCs/>
              </w:rPr>
              <w:t>462,718</w:t>
            </w:r>
          </w:p>
        </w:tc>
        <w:tc>
          <w:tcPr>
            <w:tcW w:w="1141" w:type="dxa"/>
            <w:vAlign w:val="bottom"/>
          </w:tcPr>
          <w:p w:rsidR="00035BF4" w:rsidRDefault="00035BF4" w:rsidP="002E139B">
            <w:pPr>
              <w:pStyle w:val="T1"/>
              <w:spacing w:before="40" w:after="40"/>
              <w:rPr>
                <w:bCs/>
              </w:rPr>
            </w:pPr>
            <w:r>
              <w:rPr>
                <w:bCs/>
              </w:rPr>
              <w:t>–13,357</w:t>
            </w:r>
          </w:p>
        </w:tc>
        <w:tc>
          <w:tcPr>
            <w:tcW w:w="1345" w:type="dxa"/>
            <w:vAlign w:val="bottom"/>
          </w:tcPr>
          <w:p w:rsidR="00035BF4" w:rsidRDefault="00035BF4" w:rsidP="002E139B">
            <w:pPr>
              <w:pStyle w:val="T1"/>
              <w:spacing w:before="40" w:after="40"/>
              <w:rPr>
                <w:bCs/>
              </w:rPr>
            </w:pPr>
            <w:r>
              <w:rPr>
                <w:bCs/>
              </w:rPr>
              <w:t>–526,189</w:t>
            </w:r>
          </w:p>
        </w:tc>
        <w:tc>
          <w:tcPr>
            <w:tcW w:w="1161" w:type="dxa"/>
            <w:vAlign w:val="bottom"/>
          </w:tcPr>
          <w:p w:rsidR="00035BF4" w:rsidRDefault="00035BF4" w:rsidP="002E139B">
            <w:pPr>
              <w:pStyle w:val="T1"/>
              <w:spacing w:before="40" w:after="40"/>
              <w:rPr>
                <w:bCs/>
              </w:rPr>
            </w:pPr>
            <w:r>
              <w:rPr>
                <w:bCs/>
              </w:rPr>
              <w:t>–96,044</w:t>
            </w:r>
          </w:p>
        </w:tc>
        <w:tc>
          <w:tcPr>
            <w:tcW w:w="1278" w:type="dxa"/>
            <w:vAlign w:val="bottom"/>
          </w:tcPr>
          <w:p w:rsidR="00035BF4" w:rsidRDefault="00035BF4" w:rsidP="002E139B">
            <w:pPr>
              <w:pStyle w:val="T1"/>
              <w:spacing w:before="40" w:after="40"/>
              <w:rPr>
                <w:bCs/>
              </w:rPr>
            </w:pPr>
            <w:r>
              <w:rPr>
                <w:bCs/>
              </w:rPr>
              <w:t>–172,872</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CFF/CFO</w:t>
            </w:r>
          </w:p>
        </w:tc>
        <w:tc>
          <w:tcPr>
            <w:tcW w:w="1141" w:type="dxa"/>
            <w:vAlign w:val="bottom"/>
          </w:tcPr>
          <w:p w:rsidR="00035BF4" w:rsidRDefault="00035BF4" w:rsidP="002E139B">
            <w:pPr>
              <w:pStyle w:val="T1"/>
              <w:spacing w:before="40" w:after="40"/>
              <w:rPr>
                <w:bCs/>
              </w:rPr>
            </w:pPr>
            <w:r>
              <w:rPr>
                <w:bCs/>
              </w:rPr>
              <w:t>–203.39%</w:t>
            </w:r>
          </w:p>
        </w:tc>
        <w:tc>
          <w:tcPr>
            <w:tcW w:w="1141" w:type="dxa"/>
            <w:vAlign w:val="bottom"/>
          </w:tcPr>
          <w:p w:rsidR="00035BF4" w:rsidRDefault="00035BF4" w:rsidP="002E139B">
            <w:pPr>
              <w:pStyle w:val="T1"/>
              <w:spacing w:before="40" w:after="40"/>
              <w:rPr>
                <w:bCs/>
              </w:rPr>
            </w:pPr>
            <w:r>
              <w:rPr>
                <w:bCs/>
              </w:rPr>
              <w:t>–95.85%</w:t>
            </w:r>
          </w:p>
        </w:tc>
        <w:tc>
          <w:tcPr>
            <w:tcW w:w="1345" w:type="dxa"/>
            <w:vAlign w:val="bottom"/>
          </w:tcPr>
          <w:p w:rsidR="00035BF4" w:rsidRDefault="00035BF4" w:rsidP="002E139B">
            <w:pPr>
              <w:pStyle w:val="T1"/>
              <w:spacing w:before="40" w:after="40"/>
              <w:rPr>
                <w:bCs/>
              </w:rPr>
            </w:pPr>
            <w:r>
              <w:rPr>
                <w:bCs/>
              </w:rPr>
              <w:t>73.32%</w:t>
            </w:r>
          </w:p>
        </w:tc>
        <w:tc>
          <w:tcPr>
            <w:tcW w:w="1161" w:type="dxa"/>
            <w:vAlign w:val="bottom"/>
          </w:tcPr>
          <w:p w:rsidR="00035BF4" w:rsidRDefault="00035BF4" w:rsidP="002E139B">
            <w:pPr>
              <w:pStyle w:val="T1"/>
              <w:spacing w:before="40" w:after="40"/>
              <w:rPr>
                <w:bCs/>
              </w:rPr>
            </w:pPr>
            <w:r>
              <w:rPr>
                <w:bCs/>
              </w:rPr>
              <w:t>37.73%</w:t>
            </w:r>
          </w:p>
        </w:tc>
        <w:tc>
          <w:tcPr>
            <w:tcW w:w="1278" w:type="dxa"/>
            <w:vAlign w:val="bottom"/>
          </w:tcPr>
          <w:p w:rsidR="00035BF4" w:rsidRDefault="00035BF4" w:rsidP="002E139B">
            <w:pPr>
              <w:pStyle w:val="T1"/>
              <w:spacing w:before="40" w:after="40"/>
              <w:rPr>
                <w:bCs/>
              </w:rPr>
            </w:pPr>
            <w:r>
              <w:rPr>
                <w:bCs/>
              </w:rPr>
              <w:t>14.58%</w:t>
            </w:r>
          </w:p>
        </w:tc>
      </w:tr>
    </w:tbl>
    <w:p w:rsidR="00035BF4" w:rsidRDefault="006F546F" w:rsidP="00035BF4">
      <w:pPr>
        <w:pStyle w:val="List1"/>
      </w:pPr>
      <w:r>
        <w:rPr>
          <w:b/>
          <w:bCs/>
        </w:rPr>
        <w:tab/>
      </w:r>
      <w:r w:rsidR="00035BF4">
        <w:rPr>
          <w:b/>
          <w:bCs/>
        </w:rPr>
        <w:t xml:space="preserve">17. </w:t>
      </w:r>
      <w:r w:rsidR="00035BF4">
        <w:rPr>
          <w:b/>
          <w:bCs/>
        </w:rPr>
        <w:tab/>
        <w:t>Plan:</w:t>
      </w:r>
      <w:r w:rsidR="00106723">
        <w:t xml:space="preserve"> </w:t>
      </w:r>
      <w:r w:rsidR="00035BF4">
        <w:t>Even a relatively simple transaction such as receiving an order to sell merchandise on credit and shipping the order promptly creates a series of changes within the firm. Map out the changes that would occur to a firm that engages in a relatively simple business transaction.</w:t>
      </w:r>
    </w:p>
    <w:p w:rsidR="00035BF4" w:rsidRDefault="00035BF4" w:rsidP="00035BF4">
      <w:pPr>
        <w:pStyle w:val="List1"/>
        <w:spacing w:before="160"/>
        <w:rPr>
          <w:b/>
          <w:bCs/>
        </w:rPr>
      </w:pPr>
      <w:r>
        <w:tab/>
      </w:r>
      <w:r>
        <w:tab/>
      </w:r>
      <w:r>
        <w:rPr>
          <w:b/>
          <w:bCs/>
        </w:rPr>
        <w:t>Execute:</w:t>
      </w:r>
    </w:p>
    <w:p w:rsidR="00035BF4" w:rsidRDefault="00035BF4" w:rsidP="00035BF4">
      <w:pPr>
        <w:pStyle w:val="List2"/>
      </w:pPr>
      <w:r>
        <w:t>a.</w:t>
      </w:r>
      <w:r>
        <w:tab/>
      </w:r>
      <w:r>
        <w:rPr>
          <w:i/>
          <w:iCs/>
        </w:rPr>
        <w:t>Revenues:</w:t>
      </w:r>
      <w:r>
        <w:t xml:space="preserve"> increase by $5 million</w:t>
      </w:r>
    </w:p>
    <w:p w:rsidR="00035BF4" w:rsidRDefault="00035BF4" w:rsidP="00035BF4">
      <w:pPr>
        <w:pStyle w:val="List2"/>
      </w:pPr>
      <w:r>
        <w:t>b.</w:t>
      </w:r>
      <w:r>
        <w:tab/>
      </w:r>
      <w:r>
        <w:rPr>
          <w:i/>
          <w:iCs/>
        </w:rPr>
        <w:t>Earnings:</w:t>
      </w:r>
      <w:r>
        <w:t xml:space="preserve"> increase by $3 million</w:t>
      </w:r>
    </w:p>
    <w:p w:rsidR="00035BF4" w:rsidRDefault="00035BF4" w:rsidP="00035BF4">
      <w:pPr>
        <w:pStyle w:val="List2"/>
      </w:pPr>
      <w:r>
        <w:t>c.</w:t>
      </w:r>
      <w:r>
        <w:tab/>
      </w:r>
      <w:r>
        <w:rPr>
          <w:i/>
          <w:iCs/>
        </w:rPr>
        <w:t xml:space="preserve">Receivables: </w:t>
      </w:r>
      <w:r>
        <w:t>increase by $4 million</w:t>
      </w:r>
    </w:p>
    <w:p w:rsidR="00035BF4" w:rsidRDefault="00035BF4" w:rsidP="00035BF4">
      <w:pPr>
        <w:pStyle w:val="List2"/>
      </w:pPr>
      <w:r>
        <w:t>d.</w:t>
      </w:r>
      <w:r>
        <w:tab/>
      </w:r>
      <w:r>
        <w:rPr>
          <w:i/>
          <w:iCs/>
        </w:rPr>
        <w:t>Inventory:</w:t>
      </w:r>
      <w:r>
        <w:t xml:space="preserve"> decrease by $2 million</w:t>
      </w:r>
    </w:p>
    <w:p w:rsidR="00035BF4" w:rsidRDefault="00035BF4" w:rsidP="00035BF4">
      <w:pPr>
        <w:pStyle w:val="List2"/>
      </w:pPr>
      <w:r>
        <w:t>e.</w:t>
      </w:r>
      <w:r>
        <w:tab/>
      </w:r>
      <w:r>
        <w:rPr>
          <w:i/>
          <w:iCs/>
        </w:rPr>
        <w:t>Cash:</w:t>
      </w:r>
      <w:r>
        <w:t xml:space="preserve"> increase by $3 million (earnings) </w:t>
      </w:r>
      <w:r>
        <w:rPr>
          <w:rFonts w:ascii="Symbol" w:hAnsi="Symbol"/>
        </w:rPr>
        <w:t></w:t>
      </w:r>
      <w:r>
        <w:t xml:space="preserve"> $4 million (receivables) </w:t>
      </w:r>
      <w:r>
        <w:rPr>
          <w:rFonts w:ascii="Symbol" w:hAnsi="Symbol"/>
        </w:rPr>
        <w:t></w:t>
      </w:r>
      <w:r>
        <w:t xml:space="preserve"> $2 million (inventory) </w:t>
      </w:r>
      <w:r>
        <w:rPr>
          <w:rFonts w:ascii="Symbol" w:hAnsi="Symbol"/>
        </w:rPr>
        <w:t></w:t>
      </w:r>
      <w:r w:rsidR="006F546F">
        <w:t xml:space="preserve"> </w:t>
      </w:r>
      <w:r>
        <w:t>$1 million (cash)</w:t>
      </w:r>
    </w:p>
    <w:p w:rsidR="00035BF4" w:rsidRDefault="00035BF4" w:rsidP="00035BF4">
      <w:pPr>
        <w:pStyle w:val="List1"/>
        <w:spacing w:before="160"/>
      </w:pPr>
      <w:r>
        <w:rPr>
          <w:b/>
        </w:rPr>
        <w:tab/>
      </w:r>
      <w:r>
        <w:rPr>
          <w:b/>
        </w:rPr>
        <w:tab/>
        <w:t>Evaluate:</w:t>
      </w:r>
      <w:r w:rsidR="00106723">
        <w:t xml:space="preserve"> </w:t>
      </w:r>
      <w:r>
        <w:t>We can see that even a relatively simple credit sale has impacts on Revenues, Earnings, Accounts Receivable, Inventory, and eventually Cash.</w:t>
      </w:r>
    </w:p>
    <w:p w:rsidR="00035BF4" w:rsidRDefault="00035BF4" w:rsidP="006F546F">
      <w:pPr>
        <w:pStyle w:val="List1"/>
        <w:keepLines/>
      </w:pPr>
      <w:r>
        <w:rPr>
          <w:b/>
        </w:rPr>
        <w:lastRenderedPageBreak/>
        <w:tab/>
        <w:t>18.</w:t>
      </w:r>
      <w:r>
        <w:rPr>
          <w:b/>
        </w:rPr>
        <w:tab/>
        <w:t>Plan:</w:t>
      </w:r>
      <w:r w:rsidR="00106723">
        <w:t xml:space="preserve"> </w:t>
      </w:r>
      <w:proofErr w:type="spellStart"/>
      <w:r>
        <w:t>Nokela</w:t>
      </w:r>
      <w:proofErr w:type="spellEnd"/>
      <w:r>
        <w:t xml:space="preserve"> Industries plans to purchase a capital asset. In this case it is a $40 million </w:t>
      </w:r>
      <w:proofErr w:type="spellStart"/>
      <w:r>
        <w:t>cyclo</w:t>
      </w:r>
      <w:proofErr w:type="spellEnd"/>
      <w:r>
        <w:t>-converter. Any time a firm acquires a capital asset</w:t>
      </w:r>
      <w:r w:rsidR="003B065C">
        <w:t>,</w:t>
      </w:r>
      <w:r>
        <w:t xml:space="preserve"> it is permitted to depreciate the asset for tax purposes. This has Depreciation Expense, Tax Expense, and Cash Flow effects that must be understood and analyzed.</w:t>
      </w:r>
    </w:p>
    <w:p w:rsidR="00035BF4" w:rsidRDefault="00035BF4" w:rsidP="006F546F">
      <w:pPr>
        <w:pStyle w:val="List1"/>
        <w:keepNext/>
        <w:spacing w:before="160"/>
        <w:rPr>
          <w:b/>
          <w:bCs/>
        </w:rPr>
      </w:pPr>
      <w:r>
        <w:tab/>
      </w:r>
      <w:r>
        <w:tab/>
      </w:r>
      <w:r>
        <w:rPr>
          <w:b/>
          <w:bCs/>
        </w:rPr>
        <w:t>Execute:</w:t>
      </w:r>
    </w:p>
    <w:p w:rsidR="00035BF4" w:rsidRDefault="00035BF4" w:rsidP="00035BF4">
      <w:pPr>
        <w:pStyle w:val="List2"/>
        <w:spacing w:line="240" w:lineRule="exact"/>
        <w:ind w:left="1209"/>
      </w:pPr>
      <w:r>
        <w:t>a.</w:t>
      </w:r>
      <w:r>
        <w:tab/>
        <w:t xml:space="preserve">Earnings for the next </w:t>
      </w:r>
      <w:r w:rsidR="003B065C">
        <w:t>four</w:t>
      </w:r>
      <w:r>
        <w:t xml:space="preserve"> years would have to deduct the depreciation expense. After </w:t>
      </w:r>
      <w:r>
        <w:br/>
        <w:t xml:space="preserve">taxes, this would lead to a decline of 10 </w:t>
      </w:r>
      <w:r>
        <w:sym w:font="Symbol" w:char="F0B4"/>
      </w:r>
      <w:r>
        <w:t xml:space="preserve"> (1 </w:t>
      </w:r>
      <w:r>
        <w:rPr>
          <w:rFonts w:ascii="Symbol" w:hAnsi="Symbol"/>
        </w:rPr>
        <w:t></w:t>
      </w:r>
      <w:r>
        <w:t xml:space="preserve"> 40%) </w:t>
      </w:r>
      <w:r>
        <w:rPr>
          <w:rFonts w:ascii="Symbol" w:hAnsi="Symbol"/>
        </w:rPr>
        <w:t></w:t>
      </w:r>
      <w:r>
        <w:t xml:space="preserve"> $6 million each year for the next </w:t>
      </w:r>
      <w:r>
        <w:br/>
      </w:r>
      <w:r w:rsidR="003B065C">
        <w:t xml:space="preserve">four </w:t>
      </w:r>
      <w:r>
        <w:t>years.</w:t>
      </w:r>
    </w:p>
    <w:p w:rsidR="00035BF4" w:rsidRDefault="00035BF4" w:rsidP="00035BF4">
      <w:pPr>
        <w:pStyle w:val="List2"/>
        <w:spacing w:line="240" w:lineRule="exact"/>
        <w:ind w:left="1209"/>
      </w:pPr>
      <w:r>
        <w:t>b.</w:t>
      </w:r>
      <w:r>
        <w:tab/>
        <w:t xml:space="preserve">Cash flow for the next </w:t>
      </w:r>
      <w:r w:rsidR="003B065C">
        <w:t xml:space="preserve">four </w:t>
      </w:r>
      <w:r>
        <w:t>years: less $36 million (</w:t>
      </w:r>
      <w:r>
        <w:rPr>
          <w:rFonts w:ascii="Symbol" w:hAnsi="Symbol"/>
        </w:rPr>
        <w:t></w:t>
      </w:r>
      <w:r>
        <w:rPr>
          <w:rFonts w:ascii="Times New Roman" w:hAnsi="Times New Roman"/>
        </w:rPr>
        <w:t xml:space="preserve"> </w:t>
      </w:r>
      <w:r>
        <w:t xml:space="preserve">6 </w:t>
      </w:r>
      <w:r>
        <w:rPr>
          <w:rFonts w:ascii="Symbol" w:hAnsi="Symbol"/>
        </w:rPr>
        <w:t></w:t>
      </w:r>
      <w:r>
        <w:t xml:space="preserve"> 10 </w:t>
      </w:r>
      <w:r>
        <w:rPr>
          <w:rFonts w:ascii="Symbol" w:hAnsi="Symbol"/>
        </w:rPr>
        <w:t></w:t>
      </w:r>
      <w:r>
        <w:t xml:space="preserve"> 40) this year, and add </w:t>
      </w:r>
      <w:r>
        <w:br/>
        <w:t>$4 million (</w:t>
      </w:r>
      <w:r>
        <w:rPr>
          <w:rFonts w:ascii="Symbol" w:hAnsi="Symbol"/>
        </w:rPr>
        <w:t></w:t>
      </w:r>
      <w:r>
        <w:rPr>
          <w:rFonts w:ascii="Times New Roman" w:hAnsi="Times New Roman"/>
        </w:rPr>
        <w:t xml:space="preserve"> </w:t>
      </w:r>
      <w:r>
        <w:t xml:space="preserve">6 </w:t>
      </w:r>
      <w:r>
        <w:rPr>
          <w:rFonts w:ascii="Symbol" w:hAnsi="Symbol"/>
        </w:rPr>
        <w:t></w:t>
      </w:r>
      <w:r>
        <w:t xml:space="preserve"> 10) for the </w:t>
      </w:r>
      <w:r w:rsidR="003B065C">
        <w:t xml:space="preserve">three </w:t>
      </w:r>
      <w:r>
        <w:t>following years.</w:t>
      </w:r>
    </w:p>
    <w:p w:rsidR="00035BF4" w:rsidRDefault="00035BF4" w:rsidP="00035BF4">
      <w:pPr>
        <w:pStyle w:val="List1"/>
        <w:spacing w:before="160" w:line="240" w:lineRule="exact"/>
      </w:pPr>
      <w:r>
        <w:rPr>
          <w:b/>
          <w:bCs/>
        </w:rPr>
        <w:tab/>
      </w:r>
      <w:r>
        <w:rPr>
          <w:b/>
          <w:bCs/>
        </w:rPr>
        <w:tab/>
        <w:t>Evaluate:</w:t>
      </w:r>
      <w:r w:rsidR="00106723">
        <w:t xml:space="preserve"> </w:t>
      </w:r>
      <w:r>
        <w:t xml:space="preserve">For the next </w:t>
      </w:r>
      <w:r w:rsidR="003B065C">
        <w:t xml:space="preserve">four </w:t>
      </w:r>
      <w:r>
        <w:t>years</w:t>
      </w:r>
      <w:r w:rsidR="003B065C">
        <w:t>,</w:t>
      </w:r>
      <w:r>
        <w:t xml:space="preserve"> the investment in the </w:t>
      </w:r>
      <w:proofErr w:type="spellStart"/>
      <w:r>
        <w:t>cyclo</w:t>
      </w:r>
      <w:proofErr w:type="spellEnd"/>
      <w:r>
        <w:t xml:space="preserve">-converter will increase </w:t>
      </w:r>
      <w:proofErr w:type="spellStart"/>
      <w:r>
        <w:t>Nokela’s</w:t>
      </w:r>
      <w:proofErr w:type="spellEnd"/>
      <w:r>
        <w:t xml:space="preserve"> depreciation expense by $10 million and will reduce after-tax earnings by $6 million per year. Depreciation expense is a non</w:t>
      </w:r>
      <w:r w:rsidR="003B065C">
        <w:t>-</w:t>
      </w:r>
      <w:r>
        <w:t xml:space="preserve">cash expense (it is an accrual that recognizes that the value of the asset, which has already been paid for, is declining in value) that the firm does not have to pay out. </w:t>
      </w:r>
      <w:r w:rsidR="003B065C">
        <w:t xml:space="preserve">Because </w:t>
      </w:r>
      <w:r>
        <w:t xml:space="preserve">every dollar of depreciation expense lowers </w:t>
      </w:r>
      <w:proofErr w:type="spellStart"/>
      <w:r>
        <w:t>Nokela’s</w:t>
      </w:r>
      <w:proofErr w:type="spellEnd"/>
      <w:r>
        <w:t xml:space="preserve"> taxable income by a dollar, its tax savings therefore are 40 cents on the dollar. The $10 million in depreciation </w:t>
      </w:r>
      <w:r>
        <w:rPr>
          <w:spacing w:val="-2"/>
        </w:rPr>
        <w:t xml:space="preserve">expense in the next </w:t>
      </w:r>
      <w:r w:rsidR="003B065C">
        <w:rPr>
          <w:spacing w:val="-2"/>
        </w:rPr>
        <w:t xml:space="preserve">four </w:t>
      </w:r>
      <w:r>
        <w:rPr>
          <w:spacing w:val="-2"/>
        </w:rPr>
        <w:t xml:space="preserve">years will lower </w:t>
      </w:r>
      <w:proofErr w:type="spellStart"/>
      <w:r>
        <w:rPr>
          <w:spacing w:val="-2"/>
        </w:rPr>
        <w:t>Nokela’s</w:t>
      </w:r>
      <w:proofErr w:type="spellEnd"/>
      <w:r>
        <w:rPr>
          <w:spacing w:val="-2"/>
        </w:rPr>
        <w:t xml:space="preserve"> tax bill by $4 million ($10 million </w:t>
      </w:r>
      <w:r>
        <w:rPr>
          <w:spacing w:val="-2"/>
        </w:rPr>
        <w:sym w:font="Symbol" w:char="F0B4"/>
      </w:r>
      <w:r>
        <w:rPr>
          <w:spacing w:val="-2"/>
        </w:rPr>
        <w:t xml:space="preserve"> 0.4) per year</w:t>
      </w:r>
      <w:r>
        <w:t xml:space="preserve">. </w:t>
      </w:r>
    </w:p>
    <w:p w:rsidR="00035BF4" w:rsidRDefault="00035BF4" w:rsidP="00035BF4">
      <w:pPr>
        <w:pStyle w:val="List1"/>
        <w:ind w:hanging="450"/>
      </w:pPr>
      <w:r>
        <w:rPr>
          <w:b/>
        </w:rPr>
        <w:t>19.</w:t>
      </w:r>
      <w:r>
        <w:rPr>
          <w:b/>
        </w:rPr>
        <w:tab/>
      </w:r>
      <w:r>
        <w:rPr>
          <w:b/>
        </w:rPr>
        <w:tab/>
      </w:r>
      <w:r>
        <w:rPr>
          <w:b/>
          <w:bCs/>
        </w:rPr>
        <w:t>Plan:</w:t>
      </w:r>
      <w:r w:rsidR="00106723">
        <w:t xml:space="preserve"> </w:t>
      </w:r>
      <w:r>
        <w:t>The problem presents us with some raw financial information for General Electric. While useful, this raw financial information is not well suited to support financial analysis of General Electric and to answer such questions as: How has the stock market valued GE? How much debt does GE use relative to the equity financing that GE uses? How valuable, in today’s dollars, is GE?</w:t>
      </w:r>
    </w:p>
    <w:p w:rsidR="00035BF4" w:rsidRDefault="00035BF4" w:rsidP="00035BF4">
      <w:pPr>
        <w:pStyle w:val="List1"/>
        <w:spacing w:before="100"/>
        <w:rPr>
          <w:b/>
        </w:rPr>
      </w:pPr>
      <w:r>
        <w:tab/>
      </w:r>
      <w:r>
        <w:tab/>
        <w:t>To answer these and other questions we must compute key ratios and current market values as opposed to historical cost values.</w:t>
      </w:r>
    </w:p>
    <w:p w:rsidR="00035BF4" w:rsidRDefault="00035BF4" w:rsidP="00035BF4">
      <w:pPr>
        <w:pStyle w:val="List1"/>
        <w:rPr>
          <w:b/>
          <w:bCs/>
        </w:rPr>
      </w:pPr>
      <w:r>
        <w:tab/>
      </w:r>
      <w:r>
        <w:tab/>
      </w:r>
      <w:r>
        <w:rPr>
          <w:b/>
          <w:bCs/>
        </w:rPr>
        <w:t>Execute:</w:t>
      </w:r>
    </w:p>
    <w:p w:rsidR="00035BF4" w:rsidRDefault="00035BF4" w:rsidP="00035BF4">
      <w:pPr>
        <w:pStyle w:val="List2"/>
      </w:pPr>
      <w:proofErr w:type="gramStart"/>
      <w:r>
        <w:t>a</w:t>
      </w:r>
      <w:proofErr w:type="gramEnd"/>
      <w:r>
        <w:t>.</w:t>
      </w:r>
      <w:r>
        <w:tab/>
      </w:r>
      <w:r w:rsidR="00880DDC" w:rsidRPr="00880DDC">
        <w:rPr>
          <w:position w:val="-10"/>
        </w:rPr>
        <w:object w:dxaOrig="5120" w:dyaOrig="320">
          <v:shape id="_x0000_i1036" type="#_x0000_t75" style="width:256.15pt;height:15.9pt" o:ole="">
            <v:imagedata r:id="rId32" o:title=""/>
          </v:shape>
          <o:OLEObject Type="Embed" ProgID="Equation.DSMT4" ShapeID="_x0000_i1036" DrawAspect="Content" ObjectID="_1458470206" r:id="rId33"/>
        </w:object>
      </w:r>
      <w:r>
        <w:t xml:space="preserve"> </w:t>
      </w:r>
      <w:r>
        <w:br/>
      </w:r>
      <w:r w:rsidR="00880DDC" w:rsidRPr="00880DDC">
        <w:rPr>
          <w:position w:val="-22"/>
        </w:rPr>
        <w:object w:dxaOrig="3240" w:dyaOrig="580">
          <v:shape id="_x0000_i1037" type="#_x0000_t75" style="width:162.2pt;height:28.8pt" o:ole="">
            <v:imagedata r:id="rId34" o:title=""/>
          </v:shape>
          <o:OLEObject Type="Embed" ProgID="Equation.DSMT4" ShapeID="_x0000_i1037" DrawAspect="Content" ObjectID="_1458470207" r:id="rId35"/>
        </w:object>
      </w:r>
      <w:r>
        <w:t xml:space="preserve"> </w:t>
      </w:r>
    </w:p>
    <w:p w:rsidR="00035BF4" w:rsidRDefault="00035BF4" w:rsidP="00035BF4">
      <w:pPr>
        <w:pStyle w:val="List2"/>
      </w:pPr>
      <w:proofErr w:type="gramStart"/>
      <w:r>
        <w:t>b</w:t>
      </w:r>
      <w:proofErr w:type="gramEnd"/>
      <w:r>
        <w:t>.</w:t>
      </w:r>
      <w:r>
        <w:tab/>
      </w:r>
      <w:r w:rsidR="00880DDC" w:rsidRPr="00880DDC">
        <w:rPr>
          <w:position w:val="-22"/>
        </w:rPr>
        <w:object w:dxaOrig="3220" w:dyaOrig="580">
          <v:shape id="_x0000_i1038" type="#_x0000_t75" style="width:161.05pt;height:28.8pt" o:ole="">
            <v:imagedata r:id="rId36" o:title=""/>
          </v:shape>
          <o:OLEObject Type="Embed" ProgID="Equation.DSMT4" ShapeID="_x0000_i1038" DrawAspect="Content" ObjectID="_1458470208" r:id="rId37"/>
        </w:object>
      </w:r>
      <w:r>
        <w:br/>
      </w:r>
      <w:r w:rsidR="00880DDC" w:rsidRPr="00880DDC">
        <w:rPr>
          <w:position w:val="-22"/>
        </w:rPr>
        <w:object w:dxaOrig="3540" w:dyaOrig="580">
          <v:shape id="_x0000_i1039" type="#_x0000_t75" style="width:177.35pt;height:28.8pt" o:ole="">
            <v:imagedata r:id="rId38" o:title=""/>
          </v:shape>
          <o:OLEObject Type="Embed" ProgID="Equation.DSMT4" ShapeID="_x0000_i1039" DrawAspect="Content" ObjectID="_1458470209" r:id="rId39"/>
        </w:object>
      </w:r>
      <w:r>
        <w:t xml:space="preserve"> </w:t>
      </w:r>
    </w:p>
    <w:p w:rsidR="00035BF4" w:rsidRDefault="00035BF4" w:rsidP="00035BF4">
      <w:pPr>
        <w:pStyle w:val="List2"/>
      </w:pPr>
      <w:r>
        <w:t>c.</w:t>
      </w:r>
      <w:r>
        <w:tab/>
      </w:r>
      <w:r w:rsidR="00880DDC" w:rsidRPr="00880DDC">
        <w:rPr>
          <w:position w:val="-10"/>
        </w:rPr>
        <w:object w:dxaOrig="3860" w:dyaOrig="300">
          <v:shape id="_x0000_i1040" type="#_x0000_t75" style="width:192.9pt;height:14.8pt" o:ole="">
            <v:imagedata r:id="rId40" o:title=""/>
          </v:shape>
          <o:OLEObject Type="Embed" ProgID="Equation.DSMT4" ShapeID="_x0000_i1040" DrawAspect="Content" ObjectID="_1458470210" r:id="rId41"/>
        </w:object>
      </w:r>
      <w:r>
        <w:t>(billion)</w:t>
      </w:r>
    </w:p>
    <w:p w:rsidR="00035BF4" w:rsidRDefault="00035BF4" w:rsidP="00035BF4">
      <w:pPr>
        <w:pStyle w:val="List1"/>
        <w:tabs>
          <w:tab w:val="clear" w:pos="900"/>
          <w:tab w:val="left" w:pos="1710"/>
        </w:tabs>
      </w:pPr>
      <w:r>
        <w:rPr>
          <w:b/>
        </w:rPr>
        <w:tab/>
      </w:r>
      <w:r>
        <w:rPr>
          <w:b/>
        </w:rPr>
        <w:tab/>
      </w:r>
      <w:r>
        <w:rPr>
          <w:b/>
          <w:bCs/>
        </w:rPr>
        <w:t>Evaluate:</w:t>
      </w:r>
      <w:r w:rsidR="00106723">
        <w:t xml:space="preserve"> </w:t>
      </w:r>
      <w:r>
        <w:t>GE has a market-to-book ratio of 1.93. Over time, equity investors invested $123B in GE; today that equity investment is worth $236.9B (or 1.93 times more). This indicates that GE’s management has run the firm well, and equity investors expect strong results in the future.</w:t>
      </w:r>
    </w:p>
    <w:p w:rsidR="00035BF4" w:rsidRDefault="00035BF4" w:rsidP="00035BF4">
      <w:pPr>
        <w:pStyle w:val="List1"/>
        <w:spacing w:before="100"/>
      </w:pPr>
      <w:r>
        <w:tab/>
      </w:r>
      <w:r>
        <w:tab/>
        <w:t>GE has a book debt-equity ratio of 3.23. Over time, equity investors invested $123B in GE and debt investors invested $397B (or 3.23 times more). This would indicate that GE is very heavily financed with debt. But remember these are book values. In part (a) above, we calculated that GE’s equity is valued at $236.9B in today’s dollars. The market d-e ratio provides a very different picture.</w:t>
      </w:r>
    </w:p>
    <w:p w:rsidR="00035BF4" w:rsidRDefault="00035BF4" w:rsidP="00035BF4">
      <w:pPr>
        <w:pStyle w:val="List1"/>
        <w:spacing w:before="100" w:line="240" w:lineRule="exact"/>
      </w:pPr>
      <w:r>
        <w:tab/>
      </w:r>
      <w:r>
        <w:tab/>
        <w:t>GE has an enterprise value of $543.9B. In today’s dollars</w:t>
      </w:r>
      <w:r w:rsidR="004222CE">
        <w:t>,</w:t>
      </w:r>
      <w:r>
        <w:t xml:space="preserve"> investors value the entire company </w:t>
      </w:r>
      <w:r>
        <w:br/>
      </w:r>
      <w:r w:rsidR="004222CE">
        <w:t>at</w:t>
      </w:r>
      <w:r>
        <w:t xml:space="preserve"> this value. </w:t>
      </w:r>
    </w:p>
    <w:p w:rsidR="00035BF4" w:rsidRDefault="00035BF4" w:rsidP="00035BF4">
      <w:pPr>
        <w:pStyle w:val="List1-1"/>
      </w:pPr>
      <w:r>
        <w:rPr>
          <w:b/>
          <w:color w:val="FFFFFF"/>
        </w:rPr>
        <w:lastRenderedPageBreak/>
        <w:t>9.9.</w:t>
      </w:r>
      <w:r>
        <w:rPr>
          <w:b/>
          <w:color w:val="FFFFFF"/>
        </w:rPr>
        <w:tab/>
        <w:t>9</w:t>
      </w:r>
      <w:r>
        <w:rPr>
          <w:b/>
        </w:rPr>
        <w:t>20.</w:t>
      </w:r>
      <w:r>
        <w:rPr>
          <w:bCs/>
        </w:rPr>
        <w:tab/>
        <w:t>a.</w:t>
      </w:r>
      <w:r>
        <w:rPr>
          <w:bCs/>
        </w:rPr>
        <w:tab/>
      </w:r>
      <w:r>
        <w:t xml:space="preserve">Apple’s current ratio </w:t>
      </w:r>
      <w:r w:rsidR="00880DDC" w:rsidRPr="00880DDC">
        <w:rPr>
          <w:position w:val="-22"/>
        </w:rPr>
        <w:object w:dxaOrig="1340" w:dyaOrig="580">
          <v:shape id="_x0000_i1041" type="#_x0000_t75" style="width:67.05pt;height:28.8pt" o:ole="">
            <v:imagedata r:id="rId42" o:title=""/>
          </v:shape>
          <o:OLEObject Type="Embed" ProgID="Equation.DSMT4" ShapeID="_x0000_i1041" DrawAspect="Content" ObjectID="_1458470211" r:id="rId43"/>
        </w:object>
      </w:r>
    </w:p>
    <w:p w:rsidR="00035BF4" w:rsidRDefault="00035BF4" w:rsidP="00035BF4">
      <w:pPr>
        <w:pStyle w:val="List2"/>
      </w:pPr>
      <w:r>
        <w:t>b.</w:t>
      </w:r>
      <w:r>
        <w:tab/>
        <w:t xml:space="preserve">Apple’s quick ratio </w:t>
      </w:r>
      <w:r w:rsidR="00880DDC" w:rsidRPr="00880DDC">
        <w:rPr>
          <w:position w:val="-22"/>
        </w:rPr>
        <w:object w:dxaOrig="1900" w:dyaOrig="580">
          <v:shape id="_x0000_i1042" type="#_x0000_t75" style="width:95.1pt;height:28.8pt" o:ole="">
            <v:imagedata r:id="rId44" o:title=""/>
          </v:shape>
          <o:OLEObject Type="Embed" ProgID="Equation.DSMT4" ShapeID="_x0000_i1042" DrawAspect="Content" ObjectID="_1458470212" r:id="rId45"/>
        </w:object>
      </w:r>
    </w:p>
    <w:p w:rsidR="00035BF4" w:rsidRDefault="00035BF4" w:rsidP="00035BF4">
      <w:pPr>
        <w:pStyle w:val="List2"/>
      </w:pPr>
      <w:r>
        <w:t>c.</w:t>
      </w:r>
      <w:r>
        <w:tab/>
        <w:t xml:space="preserve">Apple’s higher current and quick ratios demonstrate that it has higher asset liquidity </w:t>
      </w:r>
      <w:r>
        <w:rPr>
          <w:spacing w:val="-2"/>
        </w:rPr>
        <w:t>than does Dell. This means that in a pinch, Apple has more liquidity to draw on than does Dell.</w:t>
      </w:r>
    </w:p>
    <w:p w:rsidR="00406EF8" w:rsidRDefault="00406EF8" w:rsidP="006F546F">
      <w:pPr>
        <w:pStyle w:val="List1"/>
      </w:pPr>
      <w:r>
        <w:rPr>
          <w:b/>
          <w:bCs/>
        </w:rPr>
        <w:tab/>
        <w:t>21.</w:t>
      </w:r>
      <w:r>
        <w:tab/>
      </w:r>
      <w:r>
        <w:rPr>
          <w:b/>
          <w:spacing w:val="-2"/>
        </w:rPr>
        <w:t>Plan:</w:t>
      </w:r>
      <w:r w:rsidR="00106723">
        <w:t xml:space="preserve"> </w:t>
      </w:r>
      <w:r>
        <w:rPr>
          <w:spacing w:val="-2"/>
        </w:rPr>
        <w:t>The table presents raw data about ANF and GPS. While useful, this information does</w:t>
      </w:r>
      <w:r>
        <w:t xml:space="preserve"> not easily tell us how the stock market values each of these firms alone and by comparison. To accomplish this, we will compute the market-to-book ratio of each firm and then compare them.</w:t>
      </w:r>
    </w:p>
    <w:p w:rsidR="00406EF8" w:rsidRDefault="00406EF8" w:rsidP="00406EF8">
      <w:pPr>
        <w:pStyle w:val="List1"/>
        <w:spacing w:before="160"/>
        <w:rPr>
          <w:b/>
          <w:bCs/>
        </w:rPr>
      </w:pPr>
      <w:r>
        <w:tab/>
      </w:r>
      <w:r>
        <w:tab/>
      </w:r>
      <w:r>
        <w:rPr>
          <w:b/>
          <w:bCs/>
        </w:rPr>
        <w:t>Execute:</w:t>
      </w:r>
    </w:p>
    <w:p w:rsidR="00406EF8" w:rsidRDefault="00406EF8" w:rsidP="00406EF8">
      <w:pPr>
        <w:pStyle w:val="List2"/>
      </w:pPr>
      <w:r>
        <w:t>a.</w:t>
      </w:r>
      <w:r>
        <w:tab/>
        <w:t xml:space="preserve">ANF’s market-to-book ratio </w:t>
      </w:r>
      <w:r w:rsidR="004222CE" w:rsidRPr="004222CE">
        <w:rPr>
          <w:position w:val="-26"/>
        </w:rPr>
        <w:object w:dxaOrig="2000" w:dyaOrig="620">
          <v:shape id="_x0000_i1043" type="#_x0000_t75" style="width:100.4pt;height:31.05pt" o:ole="">
            <v:imagedata r:id="rId46" o:title=""/>
          </v:shape>
          <o:OLEObject Type="Embed" ProgID="Equation.DSMT4" ShapeID="_x0000_i1043" DrawAspect="Content" ObjectID="_1458470213" r:id="rId47"/>
        </w:object>
      </w:r>
    </w:p>
    <w:p w:rsidR="00406EF8" w:rsidRDefault="00406EF8" w:rsidP="00406EF8">
      <w:pPr>
        <w:pStyle w:val="List2"/>
      </w:pPr>
      <w:r>
        <w:tab/>
        <w:t xml:space="preserve">GPS’s market-to-book ratio </w:t>
      </w:r>
      <w:r w:rsidR="004222CE" w:rsidRPr="004222CE">
        <w:rPr>
          <w:position w:val="-26"/>
        </w:rPr>
        <w:object w:dxaOrig="2160" w:dyaOrig="620">
          <v:shape id="_x0000_i1044" type="#_x0000_t75" style="width:108pt;height:31.05pt" o:ole="">
            <v:imagedata r:id="rId48" o:title=""/>
          </v:shape>
          <o:OLEObject Type="Embed" ProgID="Equation.DSMT4" ShapeID="_x0000_i1044" DrawAspect="Content" ObjectID="_1458470214" r:id="rId49"/>
        </w:object>
      </w:r>
    </w:p>
    <w:p w:rsidR="00406EF8" w:rsidRDefault="00406EF8" w:rsidP="00406EF8">
      <w:pPr>
        <w:pStyle w:val="List2"/>
      </w:pPr>
      <w:r>
        <w:t>b.</w:t>
      </w:r>
      <w:r>
        <w:tab/>
        <w:t>The market looks more favorably on the outlook of The Gap than on Abercrombie &amp; Fitch.</w:t>
      </w:r>
    </w:p>
    <w:p w:rsidR="00406EF8" w:rsidRDefault="00406EF8" w:rsidP="00406EF8">
      <w:pPr>
        <w:pStyle w:val="List1"/>
      </w:pPr>
      <w:r>
        <w:tab/>
      </w:r>
      <w:r>
        <w:rPr>
          <w:b/>
        </w:rPr>
        <w:tab/>
        <w:t>Evaluate:</w:t>
      </w:r>
      <w:r w:rsidR="00106723">
        <w:t xml:space="preserve"> </w:t>
      </w:r>
      <w:r>
        <w:t>The market values, in a relative sense, the outlook of The Gap more favorably than Abercrombie &amp; Fitch. For every dollar of equity invested in GPS</w:t>
      </w:r>
      <w:r w:rsidR="004222CE">
        <w:t>,</w:t>
      </w:r>
      <w:r>
        <w:t xml:space="preserve"> the market values that dollar today at $4.52 versus $1.73 for a dollar invested in ANF. Equity investors are willing to pay relatively more today for shares of GPS than for ANF because they expect GPS to produce superior performance in the future.</w:t>
      </w:r>
    </w:p>
    <w:p w:rsidR="00406EF8" w:rsidRPr="00C33A45" w:rsidRDefault="006F546F" w:rsidP="006F546F">
      <w:pPr>
        <w:pStyle w:val="Question"/>
      </w:pPr>
      <w:r>
        <w:tab/>
      </w:r>
      <w:r w:rsidR="00406EF8" w:rsidRPr="00C33A45">
        <w:t>2</w:t>
      </w:r>
      <w:r w:rsidR="00406EF8">
        <w:t>2</w:t>
      </w:r>
      <w:r w:rsidR="00406EF8" w:rsidRPr="00C33A45">
        <w:t>.</w:t>
      </w:r>
      <w:r w:rsidR="00406EF8" w:rsidRPr="00C33A45">
        <w:tab/>
      </w:r>
      <w:proofErr w:type="gramStart"/>
      <w:r w:rsidR="00406EF8" w:rsidRPr="00680890">
        <w:t>In</w:t>
      </w:r>
      <w:proofErr w:type="gramEnd"/>
      <w:r w:rsidR="00406EF8" w:rsidRPr="00680890">
        <w:t xml:space="preserve"> fiscal year 2011, Starbucks Corporation (SBUX) had revenue of $11.70 billion, gross profit of $6.75 billion, and net income of $1.25 billion. </w:t>
      </w:r>
      <w:proofErr w:type="spellStart"/>
      <w:r w:rsidR="00406EF8" w:rsidRPr="00680890">
        <w:t>Peet’s</w:t>
      </w:r>
      <w:proofErr w:type="spellEnd"/>
      <w:r w:rsidR="00406EF8" w:rsidRPr="00680890">
        <w:t xml:space="preserve"> Coffee and Tea (PEET) had revenue of $372 million, gross profit of $72.7 million, </w:t>
      </w:r>
      <w:r w:rsidR="00406EF8">
        <w:t>and net income of $17.8 million</w:t>
      </w:r>
      <w:r w:rsidR="00406EF8" w:rsidRPr="00C33A45">
        <w:t>.</w:t>
      </w:r>
    </w:p>
    <w:p w:rsidR="00406EF8" w:rsidRPr="006F546F" w:rsidRDefault="00406EF8" w:rsidP="006F546F">
      <w:pPr>
        <w:pStyle w:val="QuestionaL"/>
      </w:pPr>
      <w:r w:rsidRPr="00C33A45">
        <w:t>a.</w:t>
      </w:r>
      <w:r w:rsidRPr="00C33A45">
        <w:tab/>
      </w:r>
      <w:r w:rsidRPr="00680890">
        <w:t>Com</w:t>
      </w:r>
      <w:r w:rsidRPr="006F546F">
        <w:t xml:space="preserve">pare the gross margins for Starbucks and </w:t>
      </w:r>
      <w:proofErr w:type="spellStart"/>
      <w:r w:rsidRPr="006F546F">
        <w:t>Peet’s</w:t>
      </w:r>
      <w:proofErr w:type="spellEnd"/>
      <w:r w:rsidRPr="006F546F">
        <w:t>.</w:t>
      </w:r>
    </w:p>
    <w:p w:rsidR="00406EF8" w:rsidRPr="006F546F" w:rsidRDefault="00406EF8" w:rsidP="006F546F">
      <w:pPr>
        <w:pStyle w:val="QuestionaL"/>
      </w:pPr>
      <w:r w:rsidRPr="006F546F">
        <w:t>b.</w:t>
      </w:r>
      <w:r w:rsidRPr="006F546F">
        <w:tab/>
        <w:t xml:space="preserve">Compare the net profit margins for Starbucks and </w:t>
      </w:r>
      <w:proofErr w:type="spellStart"/>
      <w:r w:rsidRPr="006F546F">
        <w:t>Peet’s</w:t>
      </w:r>
      <w:proofErr w:type="spellEnd"/>
      <w:r w:rsidRPr="006F546F">
        <w:t>.</w:t>
      </w:r>
    </w:p>
    <w:p w:rsidR="00406EF8" w:rsidRPr="00C33A45" w:rsidRDefault="00406EF8" w:rsidP="006F546F">
      <w:pPr>
        <w:pStyle w:val="QuestionaL"/>
      </w:pPr>
      <w:r w:rsidRPr="006F546F">
        <w:t>c.</w:t>
      </w:r>
      <w:r w:rsidRPr="006F546F">
        <w:tab/>
        <w:t>Whic</w:t>
      </w:r>
      <w:r w:rsidRPr="00680890">
        <w:t>h firm was more profitable in 2011?</w:t>
      </w:r>
    </w:p>
    <w:p w:rsidR="00406EF8" w:rsidRPr="00C33A45" w:rsidRDefault="00406EF8" w:rsidP="006F546F">
      <w:pPr>
        <w:pStyle w:val="List2"/>
      </w:pPr>
      <w:r>
        <w:t>a</w:t>
      </w:r>
      <w:r w:rsidRPr="00C33A45">
        <w:t>.</w:t>
      </w:r>
      <w:r w:rsidRPr="00C33A45">
        <w:tab/>
      </w:r>
      <w:r>
        <w:t>Starbucks’ gross margin =</w:t>
      </w:r>
      <w:r w:rsidR="00880DDC" w:rsidRPr="00880DDC">
        <w:rPr>
          <w:position w:val="-22"/>
        </w:rPr>
        <w:object w:dxaOrig="1480" w:dyaOrig="580">
          <v:shape id="_x0000_i1045" type="#_x0000_t75" style="width:74.25pt;height:28.8pt" o:ole="">
            <v:imagedata r:id="rId50" o:title=""/>
          </v:shape>
          <o:OLEObject Type="Embed" ProgID="Equation.DSMT4" ShapeID="_x0000_i1045" DrawAspect="Content" ObjectID="_1458470215" r:id="rId51"/>
        </w:object>
      </w:r>
      <w:r>
        <w:t xml:space="preserve">; </w:t>
      </w:r>
      <w:proofErr w:type="spellStart"/>
      <w:r>
        <w:t>Peet’s</w:t>
      </w:r>
      <w:proofErr w:type="spellEnd"/>
      <w:r>
        <w:t xml:space="preserve"> gross margin =</w:t>
      </w:r>
      <w:r w:rsidR="00880DDC" w:rsidRPr="00880DDC">
        <w:rPr>
          <w:position w:val="-22"/>
        </w:rPr>
        <w:object w:dxaOrig="1359" w:dyaOrig="580">
          <v:shape id="_x0000_i1046" type="#_x0000_t75" style="width:68.2pt;height:28.8pt" o:ole="">
            <v:imagedata r:id="rId52" o:title=""/>
          </v:shape>
          <o:OLEObject Type="Embed" ProgID="Equation.DSMT4" ShapeID="_x0000_i1046" DrawAspect="Content" ObjectID="_1458470216" r:id="rId53"/>
        </w:object>
      </w:r>
      <w:r w:rsidRPr="00891162">
        <w:t>.</w:t>
      </w:r>
    </w:p>
    <w:p w:rsidR="00406EF8" w:rsidRPr="00C33A45" w:rsidRDefault="00406EF8" w:rsidP="006F546F">
      <w:pPr>
        <w:pStyle w:val="List2"/>
      </w:pPr>
      <w:r w:rsidRPr="00C33A45">
        <w:t>b.</w:t>
      </w:r>
      <w:r w:rsidRPr="00C33A45">
        <w:tab/>
      </w:r>
      <w:r>
        <w:t>Starbucks’ net margin =</w:t>
      </w:r>
      <w:r w:rsidR="00880DDC" w:rsidRPr="00880DDC">
        <w:rPr>
          <w:position w:val="-22"/>
        </w:rPr>
        <w:object w:dxaOrig="1460" w:dyaOrig="580">
          <v:shape id="_x0000_i1047" type="#_x0000_t75" style="width:73.15pt;height:28.8pt" o:ole="">
            <v:imagedata r:id="rId54" o:title=""/>
          </v:shape>
          <o:OLEObject Type="Embed" ProgID="Equation.DSMT4" ShapeID="_x0000_i1047" DrawAspect="Content" ObjectID="_1458470217" r:id="rId55"/>
        </w:object>
      </w:r>
      <w:r>
        <w:t xml:space="preserve">; </w:t>
      </w:r>
      <w:proofErr w:type="spellStart"/>
      <w:r>
        <w:t>Peet’s</w:t>
      </w:r>
      <w:proofErr w:type="spellEnd"/>
      <w:r>
        <w:t xml:space="preserve"> net margin =</w:t>
      </w:r>
      <w:r w:rsidR="00880DDC" w:rsidRPr="00880DDC">
        <w:rPr>
          <w:position w:val="-22"/>
        </w:rPr>
        <w:object w:dxaOrig="1260" w:dyaOrig="580">
          <v:shape id="_x0000_i1048" type="#_x0000_t75" style="width:63.3pt;height:28.8pt" o:ole="">
            <v:imagedata r:id="rId56" o:title=""/>
          </v:shape>
          <o:OLEObject Type="Embed" ProgID="Equation.DSMT4" ShapeID="_x0000_i1048" DrawAspect="Content" ObjectID="_1458470218" r:id="rId57"/>
        </w:object>
      </w:r>
      <w:r w:rsidRPr="004C5E5B">
        <w:t>.</w:t>
      </w:r>
    </w:p>
    <w:p w:rsidR="00406EF8" w:rsidRDefault="00406EF8" w:rsidP="006F546F">
      <w:pPr>
        <w:pStyle w:val="List2"/>
      </w:pPr>
      <w:r>
        <w:t>c.</w:t>
      </w:r>
      <w:r>
        <w:tab/>
        <w:t>Starbucks was more profitable in 2011.</w:t>
      </w:r>
    </w:p>
    <w:p w:rsidR="00406EF8" w:rsidRDefault="00406EF8" w:rsidP="006F546F">
      <w:pPr>
        <w:pStyle w:val="List1"/>
      </w:pPr>
      <w:r>
        <w:rPr>
          <w:b/>
        </w:rPr>
        <w:tab/>
        <w:t>23.</w:t>
      </w:r>
      <w:r>
        <w:rPr>
          <w:b/>
        </w:rPr>
        <w:tab/>
        <w:t>Plan:</w:t>
      </w:r>
      <w:r w:rsidR="00106723">
        <w:t xml:space="preserve"> </w:t>
      </w:r>
      <w:r>
        <w:t xml:space="preserve">We can use </w:t>
      </w:r>
      <w:proofErr w:type="spellStart"/>
      <w:r>
        <w:t>Eqs</w:t>
      </w:r>
      <w:proofErr w:type="spellEnd"/>
      <w:r>
        <w:t xml:space="preserve">. </w:t>
      </w:r>
      <w:proofErr w:type="gramStart"/>
      <w:r>
        <w:t>2.9, 2.10</w:t>
      </w:r>
      <w:r w:rsidR="004222CE">
        <w:t>,</w:t>
      </w:r>
      <w:r>
        <w:t xml:space="preserve"> and 2.11 to compute Local’s margins.</w:t>
      </w:r>
      <w:proofErr w:type="gramEnd"/>
      <w:r>
        <w:t xml:space="preserve"> The problem gives us the necessary inputs.</w:t>
      </w:r>
    </w:p>
    <w:p w:rsidR="00406EF8" w:rsidRDefault="00406EF8" w:rsidP="00406EF8">
      <w:pPr>
        <w:pStyle w:val="List1"/>
        <w:spacing w:before="160" w:after="0"/>
        <w:rPr>
          <w:b/>
        </w:rPr>
      </w:pPr>
      <w:r>
        <w:rPr>
          <w:b/>
        </w:rPr>
        <w:tab/>
      </w:r>
      <w:r>
        <w:rPr>
          <w:b/>
        </w:rPr>
        <w:tab/>
        <w:t>Execute:</w:t>
      </w:r>
    </w:p>
    <w:p w:rsidR="00406EF8" w:rsidRDefault="00406EF8" w:rsidP="00406EF8">
      <w:pPr>
        <w:pStyle w:val="List2"/>
      </w:pPr>
      <w:r>
        <w:t>a.</w:t>
      </w:r>
      <w:r>
        <w:tab/>
        <w:t xml:space="preserve">Gross Margin </w:t>
      </w:r>
      <w:r w:rsidR="00880DDC" w:rsidRPr="00880DDC">
        <w:rPr>
          <w:position w:val="-22"/>
        </w:rPr>
        <w:object w:dxaOrig="3340" w:dyaOrig="580">
          <v:shape id="_x0000_i1049" type="#_x0000_t75" style="width:167.1pt;height:28.8pt" o:ole="">
            <v:imagedata r:id="rId58" o:title=""/>
          </v:shape>
          <o:OLEObject Type="Embed" ProgID="Equation.DSMT4" ShapeID="_x0000_i1049" DrawAspect="Content" ObjectID="_1458470219" r:id="rId59"/>
        </w:object>
      </w:r>
    </w:p>
    <w:p w:rsidR="00406EF8" w:rsidRDefault="00406EF8" w:rsidP="00406EF8">
      <w:pPr>
        <w:pStyle w:val="List2"/>
      </w:pPr>
      <w:r>
        <w:t>b.</w:t>
      </w:r>
      <w:r>
        <w:tab/>
        <w:t xml:space="preserve">Operating Margin </w:t>
      </w:r>
      <w:r w:rsidR="00880DDC" w:rsidRPr="00880DDC">
        <w:rPr>
          <w:position w:val="-22"/>
        </w:rPr>
        <w:object w:dxaOrig="4959" w:dyaOrig="580">
          <v:shape id="_x0000_i1050" type="#_x0000_t75" style="width:248.2pt;height:28.8pt" o:ole="">
            <v:imagedata r:id="rId60" o:title=""/>
          </v:shape>
          <o:OLEObject Type="Embed" ProgID="Equation.DSMT4" ShapeID="_x0000_i1050" DrawAspect="Content" ObjectID="_1458470220" r:id="rId61"/>
        </w:object>
      </w:r>
    </w:p>
    <w:p w:rsidR="00406EF8" w:rsidRDefault="00406EF8" w:rsidP="00406EF8">
      <w:pPr>
        <w:pStyle w:val="List2"/>
      </w:pPr>
      <w:r>
        <w:lastRenderedPageBreak/>
        <w:t>c.</w:t>
      </w:r>
      <w:r>
        <w:tab/>
        <w:t xml:space="preserve">Net Profit Margin </w:t>
      </w:r>
      <w:r w:rsidR="00880DDC" w:rsidRPr="00880DDC">
        <w:rPr>
          <w:position w:val="-22"/>
        </w:rPr>
        <w:object w:dxaOrig="5760" w:dyaOrig="580">
          <v:shape id="_x0000_i1051" type="#_x0000_t75" style="width:4in;height:28.8pt" o:ole="">
            <v:imagedata r:id="rId62" o:title=""/>
          </v:shape>
          <o:OLEObject Type="Embed" ProgID="Equation.DSMT4" ShapeID="_x0000_i1051" DrawAspect="Content" ObjectID="_1458470221" r:id="rId63"/>
        </w:object>
      </w:r>
    </w:p>
    <w:p w:rsidR="001B32B6" w:rsidRDefault="00406EF8" w:rsidP="001B32B6">
      <w:pPr>
        <w:pStyle w:val="List1"/>
        <w:spacing w:before="160"/>
      </w:pPr>
      <w:r>
        <w:tab/>
      </w:r>
      <w:r>
        <w:tab/>
      </w:r>
      <w:r>
        <w:rPr>
          <w:b/>
          <w:bCs/>
        </w:rPr>
        <w:t>Evaluate:</w:t>
      </w:r>
      <w:r w:rsidR="00106723">
        <w:t xml:space="preserve"> </w:t>
      </w:r>
      <w:r>
        <w:t>Local is profitable. You can see how the margins decrease as you move down the income statement because each successive margin takes into account more costs.</w:t>
      </w:r>
    </w:p>
    <w:p w:rsidR="00406EF8" w:rsidRDefault="006F546F" w:rsidP="001B32B6">
      <w:pPr>
        <w:pStyle w:val="List1"/>
        <w:spacing w:before="160"/>
      </w:pPr>
      <w:r>
        <w:rPr>
          <w:b/>
        </w:rPr>
        <w:tab/>
      </w:r>
      <w:r w:rsidR="00406EF8">
        <w:rPr>
          <w:b/>
        </w:rPr>
        <w:t>24.</w:t>
      </w:r>
      <w:r w:rsidR="00406EF8">
        <w:rPr>
          <w:b/>
        </w:rPr>
        <w:tab/>
        <w:t>Plan:</w:t>
      </w:r>
      <w:r w:rsidR="00106723">
        <w:t xml:space="preserve"> </w:t>
      </w:r>
      <w:r w:rsidR="00406EF8">
        <w:t>Selling expenses do not affect the gross margin, but the increase in such expenses will decrease the other margins.</w:t>
      </w:r>
    </w:p>
    <w:p w:rsidR="00406EF8" w:rsidRDefault="00406EF8" w:rsidP="001B32B6">
      <w:pPr>
        <w:pStyle w:val="List1"/>
        <w:spacing w:before="160"/>
        <w:rPr>
          <w:b/>
          <w:bCs/>
        </w:rPr>
      </w:pPr>
      <w:r>
        <w:tab/>
      </w:r>
      <w:r>
        <w:tab/>
      </w:r>
      <w:r>
        <w:rPr>
          <w:b/>
          <w:bCs/>
        </w:rPr>
        <w:t>Execute:</w:t>
      </w:r>
    </w:p>
    <w:p w:rsidR="00406EF8" w:rsidRDefault="00406EF8" w:rsidP="001B32B6">
      <w:pPr>
        <w:pStyle w:val="List1"/>
        <w:spacing w:before="0"/>
      </w:pPr>
      <w:r>
        <w:tab/>
      </w:r>
      <w:r>
        <w:tab/>
        <w:t>Gross margin would not change</w:t>
      </w:r>
      <w:r w:rsidR="004222CE">
        <w:t>.</w:t>
      </w:r>
      <w:r>
        <w:t xml:space="preserve"> </w:t>
      </w:r>
    </w:p>
    <w:p w:rsidR="00406EF8" w:rsidRDefault="00406EF8" w:rsidP="001B32B6">
      <w:pPr>
        <w:pStyle w:val="List1"/>
        <w:spacing w:before="0"/>
      </w:pPr>
      <w:r>
        <w:tab/>
      </w:r>
      <w:r>
        <w:tab/>
        <w:t xml:space="preserve">Operating Margin </w:t>
      </w:r>
      <w:r w:rsidR="00880DDC" w:rsidRPr="00880DDC">
        <w:rPr>
          <w:position w:val="-22"/>
        </w:rPr>
        <w:object w:dxaOrig="4980" w:dyaOrig="580">
          <v:shape id="_x0000_i1052" type="#_x0000_t75" style="width:249.35pt;height:28.8pt" o:ole="">
            <v:imagedata r:id="rId64" o:title=""/>
          </v:shape>
          <o:OLEObject Type="Embed" ProgID="Equation.DSMT4" ShapeID="_x0000_i1052" DrawAspect="Content" ObjectID="_1458470222" r:id="rId65"/>
        </w:object>
      </w:r>
    </w:p>
    <w:p w:rsidR="00406EF8" w:rsidRDefault="00406EF8" w:rsidP="001B32B6">
      <w:pPr>
        <w:pStyle w:val="List1"/>
        <w:spacing w:before="0"/>
      </w:pPr>
      <w:r>
        <w:tab/>
      </w:r>
      <w:r>
        <w:tab/>
        <w:t xml:space="preserve">Net Profit Margin </w:t>
      </w:r>
      <w:r w:rsidR="00880DDC" w:rsidRPr="00880DDC">
        <w:rPr>
          <w:position w:val="-22"/>
        </w:rPr>
        <w:object w:dxaOrig="5539" w:dyaOrig="580">
          <v:shape id="_x0000_i1053" type="#_x0000_t75" style="width:277pt;height:28.8pt" o:ole="">
            <v:imagedata r:id="rId66" o:title=""/>
          </v:shape>
          <o:OLEObject Type="Embed" ProgID="Equation.DSMT4" ShapeID="_x0000_i1053" DrawAspect="Content" ObjectID="_1458470223" r:id="rId67"/>
        </w:object>
      </w:r>
    </w:p>
    <w:p w:rsidR="00406EF8" w:rsidRDefault="00406EF8" w:rsidP="001B32B6">
      <w:pPr>
        <w:pStyle w:val="List1"/>
        <w:spacing w:before="160"/>
      </w:pPr>
      <w:r>
        <w:tab/>
      </w:r>
      <w:r>
        <w:tab/>
      </w:r>
      <w:r>
        <w:rPr>
          <w:b/>
          <w:bCs/>
        </w:rPr>
        <w:t>Evaluate:</w:t>
      </w:r>
      <w:r w:rsidR="00106723">
        <w:t xml:space="preserve"> </w:t>
      </w:r>
      <w:r>
        <w:t>Gross margin only accounts for cost of good sold. The effect of the additional selling expenses can be seen in the reduced operating and net profit margins.</w:t>
      </w:r>
    </w:p>
    <w:p w:rsidR="00406EF8" w:rsidRDefault="00406EF8" w:rsidP="001B32B6">
      <w:pPr>
        <w:pStyle w:val="List1"/>
      </w:pPr>
      <w:r>
        <w:rPr>
          <w:b/>
        </w:rPr>
        <w:tab/>
        <w:t xml:space="preserve">25. </w:t>
      </w:r>
      <w:r>
        <w:rPr>
          <w:b/>
        </w:rPr>
        <w:tab/>
        <w:t>Plan:</w:t>
      </w:r>
      <w:r w:rsidR="00106723">
        <w:t xml:space="preserve"> </w:t>
      </w:r>
      <w:r>
        <w:t xml:space="preserve">Only the net profit margin accounts for interest expense, so both the gross and operating margins will be unaffected. </w:t>
      </w:r>
    </w:p>
    <w:p w:rsidR="00406EF8" w:rsidRDefault="00406EF8" w:rsidP="001B32B6">
      <w:pPr>
        <w:pStyle w:val="List1"/>
        <w:spacing w:before="160"/>
        <w:rPr>
          <w:b/>
          <w:bCs/>
        </w:rPr>
      </w:pPr>
      <w:r>
        <w:tab/>
      </w:r>
      <w:r>
        <w:tab/>
      </w:r>
      <w:r>
        <w:rPr>
          <w:b/>
          <w:bCs/>
        </w:rPr>
        <w:t>Execute:</w:t>
      </w:r>
    </w:p>
    <w:p w:rsidR="00406EF8" w:rsidRDefault="00406EF8" w:rsidP="001B32B6">
      <w:pPr>
        <w:pStyle w:val="List1"/>
        <w:spacing w:before="0"/>
      </w:pPr>
      <w:r>
        <w:tab/>
      </w:r>
      <w:r>
        <w:tab/>
        <w:t>Gross margin would not change</w:t>
      </w:r>
      <w:r w:rsidR="004222CE">
        <w:t>.</w:t>
      </w:r>
    </w:p>
    <w:p w:rsidR="00406EF8" w:rsidRDefault="00406EF8" w:rsidP="001B32B6">
      <w:pPr>
        <w:pStyle w:val="List1"/>
        <w:spacing w:before="0"/>
      </w:pPr>
      <w:r>
        <w:tab/>
      </w:r>
      <w:r>
        <w:tab/>
        <w:t>Operating margin would not change</w:t>
      </w:r>
      <w:r w:rsidR="004222CE">
        <w:t>.</w:t>
      </w:r>
    </w:p>
    <w:p w:rsidR="00406EF8" w:rsidRDefault="00406EF8" w:rsidP="001B32B6">
      <w:pPr>
        <w:pStyle w:val="List1"/>
        <w:spacing w:before="0"/>
      </w:pPr>
      <w:r>
        <w:tab/>
      </w:r>
      <w:r>
        <w:tab/>
        <w:t xml:space="preserve">Net Profit Margin </w:t>
      </w:r>
      <w:r w:rsidR="00880DDC" w:rsidRPr="00880DDC">
        <w:rPr>
          <w:position w:val="-22"/>
        </w:rPr>
        <w:object w:dxaOrig="6100" w:dyaOrig="580">
          <v:shape id="_x0000_i1054" type="#_x0000_t75" style="width:305.05pt;height:28.8pt" o:ole="">
            <v:imagedata r:id="rId68" o:title=""/>
          </v:shape>
          <o:OLEObject Type="Embed" ProgID="Equation.DSMT4" ShapeID="_x0000_i1054" DrawAspect="Content" ObjectID="_1458470224" r:id="rId69"/>
        </w:object>
      </w:r>
    </w:p>
    <w:p w:rsidR="00406EF8" w:rsidRDefault="00406EF8" w:rsidP="001B32B6">
      <w:pPr>
        <w:pStyle w:val="List1"/>
        <w:spacing w:before="160"/>
      </w:pPr>
      <w:r>
        <w:tab/>
      </w:r>
      <w:r>
        <w:tab/>
      </w:r>
      <w:r>
        <w:rPr>
          <w:b/>
          <w:bCs/>
        </w:rPr>
        <w:t>Evaluate:</w:t>
      </w:r>
      <w:r w:rsidR="00106723">
        <w:t xml:space="preserve"> </w:t>
      </w:r>
      <w:r>
        <w:t>If you were focused only on the gross and operating margins, you would not see the impact of the increased interest expense, which shows-up in the net profit margin.</w:t>
      </w:r>
    </w:p>
    <w:p w:rsidR="00406EF8" w:rsidRDefault="00406EF8" w:rsidP="001B32B6">
      <w:pPr>
        <w:pStyle w:val="List1"/>
      </w:pPr>
      <w:r>
        <w:rPr>
          <w:b/>
        </w:rPr>
        <w:tab/>
        <w:t>26.</w:t>
      </w:r>
      <w:r>
        <w:rPr>
          <w:b/>
        </w:rPr>
        <w:tab/>
      </w:r>
      <w:r>
        <w:t xml:space="preserve">Using operating income as a multiple of interest to compute interest coverage, we have: operating income = 0.10 </w:t>
      </w:r>
      <w:r>
        <w:sym w:font="Symbol" w:char="F0B4"/>
      </w:r>
      <w:r>
        <w:t xml:space="preserve"> $30 million = $3 million, so its interest coverage is </w:t>
      </w:r>
      <w:r w:rsidR="004222CE">
        <w:br/>
      </w:r>
      <w:r>
        <w:t>$3 million/$1 million = 3 times.</w:t>
      </w:r>
    </w:p>
    <w:p w:rsidR="00406EF8" w:rsidRDefault="00406EF8" w:rsidP="001B32B6">
      <w:pPr>
        <w:pStyle w:val="List1"/>
      </w:pPr>
      <w:r>
        <w:rPr>
          <w:b/>
        </w:rPr>
        <w:tab/>
        <w:t>27.</w:t>
      </w:r>
      <w:r>
        <w:rPr>
          <w:b/>
        </w:rPr>
        <w:tab/>
        <w:t>Plan:</w:t>
      </w:r>
      <w:r w:rsidR="00106723">
        <w:t xml:space="preserve"> </w:t>
      </w:r>
      <w:r>
        <w:t xml:space="preserve">First, we must compute Ladders’ net income using the fact that net profit margin is net income/sales. Then we can compute the ROE as net income/book equity and the ROA as net income/book assets. </w:t>
      </w:r>
    </w:p>
    <w:p w:rsidR="00406EF8" w:rsidRDefault="00406EF8" w:rsidP="001B32B6">
      <w:pPr>
        <w:pStyle w:val="List1"/>
        <w:spacing w:before="160" w:after="0"/>
        <w:rPr>
          <w:b/>
        </w:rPr>
      </w:pPr>
      <w:r>
        <w:rPr>
          <w:b/>
        </w:rPr>
        <w:tab/>
      </w:r>
      <w:r>
        <w:rPr>
          <w:b/>
        </w:rPr>
        <w:tab/>
        <w:t>Execute:</w:t>
      </w:r>
    </w:p>
    <w:p w:rsidR="00406EF8" w:rsidRDefault="00406EF8" w:rsidP="001B32B6">
      <w:pPr>
        <w:pStyle w:val="List1"/>
        <w:spacing w:before="0"/>
      </w:pPr>
      <w:r>
        <w:tab/>
      </w:r>
      <w:r>
        <w:tab/>
        <w:t xml:space="preserve">First, compute Ladders’ net income: 0.05 </w:t>
      </w:r>
      <w:r>
        <w:rPr>
          <w:rFonts w:ascii="Symbol" w:hAnsi="Symbol"/>
        </w:rPr>
        <w:sym w:font="Symbol" w:char="F0B4"/>
      </w:r>
      <w:r>
        <w:t xml:space="preserve"> $50 million </w:t>
      </w:r>
      <w:r>
        <w:rPr>
          <w:rFonts w:ascii="Symbol" w:hAnsi="Symbol"/>
        </w:rPr>
        <w:t></w:t>
      </w:r>
      <w:r>
        <w:t xml:space="preserve"> $2.5 million. </w:t>
      </w:r>
    </w:p>
    <w:p w:rsidR="00406EF8" w:rsidRDefault="00406EF8" w:rsidP="001B32B6">
      <w:pPr>
        <w:pStyle w:val="List1"/>
        <w:spacing w:before="0"/>
      </w:pPr>
      <w:r>
        <w:tab/>
      </w:r>
      <w:r>
        <w:tab/>
        <w:t xml:space="preserve">ROE </w:t>
      </w:r>
      <w:r>
        <w:rPr>
          <w:rFonts w:ascii="Symbol" w:hAnsi="Symbol"/>
        </w:rPr>
        <w:t></w:t>
      </w:r>
      <w:r>
        <w:t xml:space="preserve"> Net Income/Book Equity </w:t>
      </w:r>
      <w:r>
        <w:rPr>
          <w:rFonts w:ascii="Symbol" w:hAnsi="Symbol"/>
        </w:rPr>
        <w:t></w:t>
      </w:r>
      <w:r>
        <w:t xml:space="preserve"> $2.5 million/$40 million </w:t>
      </w:r>
      <w:r>
        <w:rPr>
          <w:rFonts w:ascii="Symbol" w:hAnsi="Symbol"/>
        </w:rPr>
        <w:t></w:t>
      </w:r>
      <w:r>
        <w:t xml:space="preserve"> 6.25% </w:t>
      </w:r>
    </w:p>
    <w:p w:rsidR="00406EF8" w:rsidRDefault="00406EF8" w:rsidP="001B32B6">
      <w:pPr>
        <w:pStyle w:val="List1"/>
        <w:spacing w:before="0"/>
      </w:pPr>
      <w:r>
        <w:tab/>
      </w:r>
      <w:r>
        <w:tab/>
        <w:t xml:space="preserve">ROA </w:t>
      </w:r>
      <w:r>
        <w:rPr>
          <w:rFonts w:ascii="Symbol" w:hAnsi="Symbol"/>
        </w:rPr>
        <w:t></w:t>
      </w:r>
      <w:r>
        <w:t xml:space="preserve"> Net Income/Book Assets </w:t>
      </w:r>
      <w:r>
        <w:rPr>
          <w:rFonts w:ascii="Symbol" w:hAnsi="Symbol"/>
        </w:rPr>
        <w:t></w:t>
      </w:r>
      <w:r>
        <w:t xml:space="preserve"> $2.5 million</w:t>
      </w:r>
      <w:proofErr w:type="gramStart"/>
      <w:r>
        <w:t>/(</w:t>
      </w:r>
      <w:proofErr w:type="gramEnd"/>
      <w:r>
        <w:t xml:space="preserve">$30 million </w:t>
      </w:r>
      <w:r>
        <w:rPr>
          <w:rFonts w:ascii="Symbol" w:hAnsi="Symbol"/>
        </w:rPr>
        <w:t></w:t>
      </w:r>
      <w:r>
        <w:t xml:space="preserve"> $40 million) </w:t>
      </w:r>
      <w:r>
        <w:rPr>
          <w:rFonts w:ascii="Symbol" w:hAnsi="Symbol"/>
        </w:rPr>
        <w:t></w:t>
      </w:r>
      <w:r>
        <w:t xml:space="preserve"> 3.57%</w:t>
      </w:r>
    </w:p>
    <w:p w:rsidR="00406EF8" w:rsidRDefault="00406EF8" w:rsidP="001B32B6">
      <w:pPr>
        <w:pStyle w:val="List1"/>
        <w:spacing w:before="160"/>
      </w:pPr>
      <w:r>
        <w:rPr>
          <w:b/>
        </w:rPr>
        <w:tab/>
      </w:r>
      <w:r>
        <w:rPr>
          <w:b/>
        </w:rPr>
        <w:tab/>
        <w:t>Evaluate:</w:t>
      </w:r>
      <w:r w:rsidR="00106723">
        <w:t xml:space="preserve"> </w:t>
      </w:r>
      <w:r>
        <w:t>ROE measure the net income (to shareholders) as a percentage of the book value of their investment. ROA measures the net income (to shareholders) as a percentage of the book value of all the assets used to generate the income. A firm with positive book equity and some debt will always have a lower ROA than ROE. ROA and ROE will be the same for a firm with no liabilities.</w:t>
      </w:r>
      <w:r w:rsidR="00106723">
        <w:t xml:space="preserve"> </w:t>
      </w:r>
    </w:p>
    <w:p w:rsidR="00406EF8" w:rsidRDefault="006F546F" w:rsidP="006F546F">
      <w:pPr>
        <w:pStyle w:val="List1"/>
        <w:keepNext/>
      </w:pPr>
      <w:r w:rsidRPr="006F546F">
        <w:rPr>
          <w:b/>
          <w:noProof/>
          <w:position w:val="-8"/>
        </w:rPr>
        <w:lastRenderedPageBreak/>
        <w:drawing>
          <wp:inline distT="0" distB="0" distL="0" distR="0">
            <wp:extent cx="298279" cy="210312"/>
            <wp:effectExtent l="19050" t="0" r="6521" b="0"/>
            <wp:docPr id="6"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79" cy="210312"/>
                    </a:xfrm>
                    <a:prstGeom prst="rect">
                      <a:avLst/>
                    </a:prstGeom>
                  </pic:spPr>
                </pic:pic>
              </a:graphicData>
            </a:graphic>
          </wp:inline>
        </w:drawing>
      </w:r>
      <w:r w:rsidRPr="006F546F">
        <w:rPr>
          <w:b/>
          <w:position w:val="-8"/>
        </w:rPr>
        <w:tab/>
      </w:r>
      <w:r w:rsidR="00406EF8">
        <w:rPr>
          <w:b/>
        </w:rPr>
        <w:t>28.</w:t>
      </w:r>
      <w:r w:rsidR="00406EF8">
        <w:rPr>
          <w:b/>
        </w:rPr>
        <w:tab/>
        <w:t>Plan:</w:t>
      </w:r>
      <w:r w:rsidR="00106723">
        <w:t xml:space="preserve"> </w:t>
      </w:r>
      <w:r w:rsidR="00406EF8">
        <w:t xml:space="preserve">Using the information provided and </w:t>
      </w:r>
      <w:proofErr w:type="spellStart"/>
      <w:r w:rsidR="00406EF8">
        <w:t>Eqs</w:t>
      </w:r>
      <w:proofErr w:type="spellEnd"/>
      <w:r w:rsidR="00406EF8">
        <w:t>. 2.15 to 2.18, we can compute all the efficiency ratios for JPJ.</w:t>
      </w:r>
    </w:p>
    <w:p w:rsidR="00406EF8" w:rsidRDefault="00406EF8" w:rsidP="006F546F">
      <w:pPr>
        <w:pStyle w:val="List1"/>
        <w:keepNext/>
        <w:spacing w:before="160" w:after="0"/>
        <w:rPr>
          <w:b/>
          <w:bCs/>
        </w:rPr>
      </w:pPr>
      <w:r>
        <w:tab/>
      </w:r>
      <w:r>
        <w:tab/>
      </w:r>
      <w:r>
        <w:rPr>
          <w:b/>
          <w:bCs/>
        </w:rPr>
        <w:t>Execute:</w:t>
      </w:r>
    </w:p>
    <w:p w:rsidR="00406EF8" w:rsidRDefault="00406EF8" w:rsidP="00406EF8">
      <w:pPr>
        <w:pStyle w:val="List1"/>
        <w:spacing w:before="0"/>
      </w:pPr>
      <w:r>
        <w:tab/>
      </w:r>
      <w:r>
        <w:tab/>
        <w:t xml:space="preserve">Accounts Receivable Days </w:t>
      </w:r>
      <w:r w:rsidR="00880DDC" w:rsidRPr="00880DDC">
        <w:rPr>
          <w:position w:val="-30"/>
        </w:rPr>
        <w:object w:dxaOrig="4580" w:dyaOrig="660">
          <v:shape id="_x0000_i1055" type="#_x0000_t75" style="width:228.9pt;height:33.35pt" o:ole="">
            <v:imagedata r:id="rId70" o:title=""/>
          </v:shape>
          <o:OLEObject Type="Embed" ProgID="Equation.DSMT4" ShapeID="_x0000_i1055" DrawAspect="Content" ObjectID="_1458470225" r:id="rId71"/>
        </w:object>
      </w:r>
      <w:r>
        <w:t xml:space="preserve"> </w:t>
      </w:r>
    </w:p>
    <w:p w:rsidR="00406EF8" w:rsidRDefault="00406EF8" w:rsidP="00406EF8">
      <w:pPr>
        <w:pStyle w:val="List1"/>
        <w:tabs>
          <w:tab w:val="left" w:pos="3312"/>
        </w:tabs>
        <w:spacing w:before="0"/>
      </w:pPr>
      <w:r>
        <w:tab/>
      </w:r>
      <w:r>
        <w:tab/>
        <w:t xml:space="preserve">Fixed Asset Turnover </w:t>
      </w:r>
      <w:r w:rsidR="004222CE" w:rsidRPr="00880DDC">
        <w:rPr>
          <w:position w:val="-26"/>
        </w:rPr>
        <w:object w:dxaOrig="3260" w:dyaOrig="620">
          <v:shape id="_x0000_i1056" type="#_x0000_t75" style="width:162.95pt;height:31.05pt" o:ole="">
            <v:imagedata r:id="rId72" o:title=""/>
          </v:shape>
          <o:OLEObject Type="Embed" ProgID="Equation.DSMT4" ShapeID="_x0000_i1056" DrawAspect="Content" ObjectID="_1458470226" r:id="rId73"/>
        </w:object>
      </w:r>
    </w:p>
    <w:p w:rsidR="00406EF8" w:rsidRDefault="00406EF8" w:rsidP="00406EF8">
      <w:pPr>
        <w:pStyle w:val="List1"/>
        <w:tabs>
          <w:tab w:val="left" w:pos="3339"/>
        </w:tabs>
        <w:spacing w:before="0"/>
      </w:pPr>
      <w:r>
        <w:tab/>
      </w:r>
      <w:r>
        <w:tab/>
        <w:t xml:space="preserve">(Total) Asset Turnover </w:t>
      </w:r>
      <w:r w:rsidR="00880DDC" w:rsidRPr="00880DDC">
        <w:rPr>
          <w:position w:val="-26"/>
        </w:rPr>
        <w:object w:dxaOrig="3019" w:dyaOrig="620">
          <v:shape id="_x0000_i1057" type="#_x0000_t75" style="width:151.2pt;height:31.05pt" o:ole="">
            <v:imagedata r:id="rId74" o:title=""/>
          </v:shape>
          <o:OLEObject Type="Embed" ProgID="Equation.DSMT4" ShapeID="_x0000_i1057" DrawAspect="Content" ObjectID="_1458470227" r:id="rId75"/>
        </w:object>
      </w:r>
    </w:p>
    <w:p w:rsidR="001B32B6" w:rsidRDefault="00406EF8" w:rsidP="001B32B6">
      <w:pPr>
        <w:pStyle w:val="List2"/>
        <w:tabs>
          <w:tab w:val="left" w:pos="3321"/>
        </w:tabs>
      </w:pPr>
      <w:r>
        <w:t xml:space="preserve">Inventory Turnover </w:t>
      </w:r>
      <w:r w:rsidR="00880DDC" w:rsidRPr="00880DDC">
        <w:rPr>
          <w:position w:val="-28"/>
        </w:rPr>
        <w:object w:dxaOrig="3320" w:dyaOrig="639">
          <v:shape id="_x0000_i1058" type="#_x0000_t75" style="width:166pt;height:32.2pt" o:ole="">
            <v:imagedata r:id="rId76" o:title=""/>
          </v:shape>
          <o:OLEObject Type="Embed" ProgID="Equation.DSMT4" ShapeID="_x0000_i1058" DrawAspect="Content" ObjectID="_1458470228" r:id="rId77"/>
        </w:object>
      </w:r>
    </w:p>
    <w:p w:rsidR="00406EF8" w:rsidRDefault="00406EF8" w:rsidP="004222CE">
      <w:pPr>
        <w:pStyle w:val="List2"/>
        <w:tabs>
          <w:tab w:val="clear" w:pos="1200"/>
          <w:tab w:val="left" w:pos="3321"/>
        </w:tabs>
        <w:ind w:left="900" w:firstLine="0"/>
      </w:pPr>
      <w:r>
        <w:rPr>
          <w:b/>
          <w:bCs/>
        </w:rPr>
        <w:t>Evaluate:</w:t>
      </w:r>
      <w:r w:rsidR="00106723">
        <w:t xml:space="preserve"> </w:t>
      </w:r>
      <w:r>
        <w:t>These ratios allow you to evaluate how efficiently JPJ is utilizing its assets and how quickly it is collecting its accounts receivables.</w:t>
      </w:r>
    </w:p>
    <w:p w:rsidR="00406EF8" w:rsidRDefault="006F546F" w:rsidP="00406EF8">
      <w:pPr>
        <w:pStyle w:val="List1"/>
        <w:rPr>
          <w:b/>
        </w:rPr>
      </w:pPr>
      <w:r w:rsidRPr="006F546F">
        <w:rPr>
          <w:b/>
          <w:noProof/>
          <w:position w:val="-8"/>
        </w:rPr>
        <w:drawing>
          <wp:inline distT="0" distB="0" distL="0" distR="0">
            <wp:extent cx="298280" cy="210312"/>
            <wp:effectExtent l="19050" t="0" r="6520" b="0"/>
            <wp:docPr id="7"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80" cy="210312"/>
                    </a:xfrm>
                    <a:prstGeom prst="rect">
                      <a:avLst/>
                    </a:prstGeom>
                  </pic:spPr>
                </pic:pic>
              </a:graphicData>
            </a:graphic>
          </wp:inline>
        </w:drawing>
      </w:r>
      <w:r w:rsidRPr="006F546F">
        <w:rPr>
          <w:b/>
          <w:position w:val="-8"/>
        </w:rPr>
        <w:tab/>
      </w:r>
      <w:r w:rsidR="00406EF8">
        <w:rPr>
          <w:b/>
        </w:rPr>
        <w:t>29.</w:t>
      </w:r>
      <w:r w:rsidR="00406EF8">
        <w:rPr>
          <w:b/>
        </w:rPr>
        <w:tab/>
      </w:r>
      <w:r w:rsidR="00406EF8">
        <w:rPr>
          <w:b/>
          <w:spacing w:val="-2"/>
        </w:rPr>
        <w:t>Plan:</w:t>
      </w:r>
      <w:r w:rsidR="00106723">
        <w:t xml:space="preserve"> </w:t>
      </w:r>
      <w:r w:rsidR="00406EF8">
        <w:rPr>
          <w:spacing w:val="-2"/>
        </w:rPr>
        <w:t>Using the 10% growth rate, we can compute the new sales number</w:t>
      </w:r>
      <w:r w:rsidR="004222CE">
        <w:rPr>
          <w:spacing w:val="-2"/>
        </w:rPr>
        <w:t>,</w:t>
      </w:r>
      <w:r w:rsidR="00406EF8">
        <w:rPr>
          <w:spacing w:val="-2"/>
        </w:rPr>
        <w:t xml:space="preserve"> and then the 5% growth</w:t>
      </w:r>
      <w:r w:rsidR="00406EF8">
        <w:t xml:space="preserve"> rate will give us the new assets number.</w:t>
      </w:r>
      <w:r w:rsidR="00106723">
        <w:t xml:space="preserve"> </w:t>
      </w:r>
      <w:r w:rsidR="00406EF8">
        <w:t xml:space="preserve">We can then </w:t>
      </w:r>
      <w:proofErr w:type="spellStart"/>
      <w:r w:rsidR="00406EF8">
        <w:t>recompute</w:t>
      </w:r>
      <w:proofErr w:type="spellEnd"/>
      <w:r w:rsidR="00406EF8">
        <w:t xml:space="preserve"> the asset turnover ratios.</w:t>
      </w:r>
    </w:p>
    <w:p w:rsidR="00406EF8" w:rsidRDefault="00406EF8" w:rsidP="00406EF8">
      <w:pPr>
        <w:pStyle w:val="List1"/>
        <w:spacing w:before="160"/>
        <w:rPr>
          <w:b/>
          <w:bCs/>
        </w:rPr>
      </w:pPr>
      <w:r>
        <w:tab/>
      </w:r>
      <w:r>
        <w:tab/>
      </w:r>
      <w:r>
        <w:rPr>
          <w:b/>
          <w:bCs/>
        </w:rPr>
        <w:t xml:space="preserve">Execute: </w:t>
      </w:r>
    </w:p>
    <w:p w:rsidR="00406EF8" w:rsidRDefault="00406EF8" w:rsidP="00406EF8">
      <w:pPr>
        <w:pStyle w:val="List1"/>
        <w:spacing w:before="0"/>
      </w:pPr>
      <w:r>
        <w:tab/>
      </w:r>
      <w:r>
        <w:tab/>
        <w:t xml:space="preserve">Sales </w:t>
      </w:r>
      <w:r>
        <w:rPr>
          <w:rFonts w:ascii="Symbol" w:hAnsi="Symbol"/>
        </w:rPr>
        <w:t></w:t>
      </w:r>
      <w:r>
        <w:t xml:space="preserve"> 1,000,000(1.10) </w:t>
      </w:r>
      <w:r>
        <w:rPr>
          <w:rFonts w:ascii="Symbol" w:hAnsi="Symbol"/>
        </w:rPr>
        <w:t></w:t>
      </w:r>
      <w:r>
        <w:t xml:space="preserve"> 1,100,000</w:t>
      </w:r>
    </w:p>
    <w:p w:rsidR="00406EF8" w:rsidRDefault="00406EF8" w:rsidP="00406EF8">
      <w:pPr>
        <w:pStyle w:val="List1"/>
        <w:spacing w:before="0"/>
      </w:pPr>
      <w:r>
        <w:tab/>
      </w:r>
      <w:r>
        <w:tab/>
        <w:t xml:space="preserve">Assets </w:t>
      </w:r>
      <w:r>
        <w:rPr>
          <w:rFonts w:ascii="Symbol" w:hAnsi="Symbol"/>
        </w:rPr>
        <w:t></w:t>
      </w:r>
      <w:r>
        <w:t xml:space="preserve"> 5,000,000(1.05) </w:t>
      </w:r>
      <w:r>
        <w:rPr>
          <w:rFonts w:ascii="Symbol" w:hAnsi="Symbol"/>
        </w:rPr>
        <w:t></w:t>
      </w:r>
      <w:r>
        <w:t xml:space="preserve"> 5,250,000</w:t>
      </w:r>
    </w:p>
    <w:p w:rsidR="00406EF8" w:rsidRDefault="00406EF8" w:rsidP="00406EF8">
      <w:pPr>
        <w:pStyle w:val="List1"/>
        <w:spacing w:before="0"/>
      </w:pPr>
      <w:r>
        <w:tab/>
      </w:r>
      <w:r>
        <w:tab/>
        <w:t xml:space="preserve">Fixed assets </w:t>
      </w:r>
      <w:r>
        <w:rPr>
          <w:rFonts w:ascii="Symbol" w:hAnsi="Symbol"/>
        </w:rPr>
        <w:t></w:t>
      </w:r>
      <w:r>
        <w:t xml:space="preserve"> 3,000,000(1.05) </w:t>
      </w:r>
      <w:r>
        <w:rPr>
          <w:rFonts w:ascii="Symbol" w:hAnsi="Symbol"/>
        </w:rPr>
        <w:t></w:t>
      </w:r>
      <w:r>
        <w:t xml:space="preserve"> 3,150,000</w:t>
      </w:r>
    </w:p>
    <w:p w:rsidR="00406EF8" w:rsidRDefault="00406EF8" w:rsidP="00406EF8">
      <w:pPr>
        <w:pStyle w:val="List1"/>
        <w:spacing w:before="0"/>
      </w:pPr>
      <w:r>
        <w:tab/>
      </w:r>
      <w:r>
        <w:tab/>
        <w:t xml:space="preserve">Fixed Asset Turnover </w:t>
      </w:r>
      <w:r w:rsidR="00880DDC" w:rsidRPr="00880DDC">
        <w:rPr>
          <w:position w:val="-26"/>
        </w:rPr>
        <w:object w:dxaOrig="3140" w:dyaOrig="620">
          <v:shape id="_x0000_i1059" type="#_x0000_t75" style="width:156.5pt;height:31.05pt" o:ole="">
            <v:imagedata r:id="rId78" o:title=""/>
          </v:shape>
          <o:OLEObject Type="Embed" ProgID="Equation.DSMT4" ShapeID="_x0000_i1059" DrawAspect="Content" ObjectID="_1458470229" r:id="rId79"/>
        </w:object>
      </w:r>
    </w:p>
    <w:p w:rsidR="00406EF8" w:rsidRDefault="00406EF8" w:rsidP="00406EF8">
      <w:pPr>
        <w:pStyle w:val="List1"/>
        <w:spacing w:before="0"/>
      </w:pPr>
      <w:r>
        <w:tab/>
      </w:r>
      <w:r>
        <w:tab/>
        <w:t xml:space="preserve">(Total) Asset Turnover </w:t>
      </w:r>
      <w:r w:rsidR="00880DDC" w:rsidRPr="00880DDC">
        <w:rPr>
          <w:position w:val="-26"/>
        </w:rPr>
        <w:object w:dxaOrig="3100" w:dyaOrig="620">
          <v:shape id="_x0000_i1060" type="#_x0000_t75" style="width:155pt;height:31.05pt" o:ole="">
            <v:imagedata r:id="rId80" o:title=""/>
          </v:shape>
          <o:OLEObject Type="Embed" ProgID="Equation.DSMT4" ShapeID="_x0000_i1060" DrawAspect="Content" ObjectID="_1458470230" r:id="rId81"/>
        </w:object>
      </w:r>
    </w:p>
    <w:p w:rsidR="00406EF8" w:rsidRDefault="00406EF8" w:rsidP="00406EF8">
      <w:pPr>
        <w:pStyle w:val="List1"/>
        <w:spacing w:before="160"/>
        <w:rPr>
          <w:b/>
        </w:rPr>
      </w:pPr>
      <w:r>
        <w:rPr>
          <w:b/>
        </w:rPr>
        <w:tab/>
      </w:r>
      <w:r>
        <w:rPr>
          <w:b/>
        </w:rPr>
        <w:tab/>
        <w:t>Evaluate:</w:t>
      </w:r>
      <w:r w:rsidR="00106723">
        <w:t xml:space="preserve"> </w:t>
      </w:r>
      <w:r>
        <w:t>Because sales are growing faster than assets, we see that efficiency of asset utilization is increasing—the turnover ratios are higher.</w:t>
      </w:r>
      <w:r>
        <w:rPr>
          <w:b/>
        </w:rPr>
        <w:t xml:space="preserve"> </w:t>
      </w:r>
    </w:p>
    <w:p w:rsidR="00406EF8" w:rsidRDefault="006F546F" w:rsidP="006F546F">
      <w:pPr>
        <w:pStyle w:val="List1"/>
        <w:ind w:hanging="1087"/>
      </w:pPr>
      <w:r w:rsidRPr="006F546F">
        <w:rPr>
          <w:b/>
          <w:noProof/>
          <w:position w:val="-8"/>
        </w:rPr>
        <w:drawing>
          <wp:inline distT="0" distB="0" distL="0" distR="0">
            <wp:extent cx="298279" cy="210312"/>
            <wp:effectExtent l="19050" t="0" r="6521" b="0"/>
            <wp:docPr id="8"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79" cy="210312"/>
                    </a:xfrm>
                    <a:prstGeom prst="rect">
                      <a:avLst/>
                    </a:prstGeom>
                  </pic:spPr>
                </pic:pic>
              </a:graphicData>
            </a:graphic>
          </wp:inline>
        </w:drawing>
      </w:r>
      <w:r w:rsidRPr="006F546F">
        <w:rPr>
          <w:b/>
          <w:position w:val="-8"/>
        </w:rPr>
        <w:tab/>
      </w:r>
      <w:r w:rsidR="00406EF8">
        <w:rPr>
          <w:b/>
          <w:bCs/>
        </w:rPr>
        <w:t>*30.</w:t>
      </w:r>
      <w:r w:rsidR="00406EF8">
        <w:tab/>
      </w:r>
      <w:r w:rsidR="00406EF8">
        <w:rPr>
          <w:b/>
          <w:bCs/>
        </w:rPr>
        <w:t>P</w:t>
      </w:r>
      <w:r w:rsidR="00406EF8">
        <w:rPr>
          <w:b/>
          <w:bCs/>
          <w:spacing w:val="-2"/>
        </w:rPr>
        <w:t xml:space="preserve">lan: </w:t>
      </w:r>
      <w:r w:rsidR="00406EF8">
        <w:rPr>
          <w:spacing w:val="-2"/>
        </w:rPr>
        <w:t xml:space="preserve">We are given some data about </w:t>
      </w:r>
      <w:proofErr w:type="spellStart"/>
      <w:r w:rsidR="00406EF8">
        <w:rPr>
          <w:spacing w:val="-2"/>
        </w:rPr>
        <w:t>Global’s</w:t>
      </w:r>
      <w:proofErr w:type="spellEnd"/>
      <w:r w:rsidR="00406EF8">
        <w:rPr>
          <w:spacing w:val="-2"/>
        </w:rPr>
        <w:t xml:space="preserve"> financial results in 2013. Global launched a market</w:t>
      </w:r>
      <w:r w:rsidR="00406EF8">
        <w:t>ing campaign that increased sales but also decreased operating margins. We must calculate the effects of these changes on revenues, net income, and stock price.</w:t>
      </w:r>
    </w:p>
    <w:p w:rsidR="00406EF8" w:rsidRDefault="00406EF8" w:rsidP="00406EF8">
      <w:pPr>
        <w:pStyle w:val="List1"/>
        <w:spacing w:before="160"/>
        <w:rPr>
          <w:b/>
          <w:bCs/>
        </w:rPr>
      </w:pPr>
      <w:r>
        <w:tab/>
      </w:r>
      <w:r>
        <w:tab/>
      </w:r>
      <w:r>
        <w:rPr>
          <w:b/>
          <w:bCs/>
        </w:rPr>
        <w:t>Execute:</w:t>
      </w:r>
    </w:p>
    <w:p w:rsidR="00406EF8" w:rsidRDefault="00406EF8" w:rsidP="00406EF8">
      <w:pPr>
        <w:pStyle w:val="List2"/>
      </w:pPr>
      <w:r>
        <w:t>a.</w:t>
      </w:r>
      <w:r>
        <w:tab/>
        <w:t xml:space="preserve">Revenues in 2013 </w:t>
      </w:r>
      <w:r>
        <w:rPr>
          <w:rFonts w:ascii="Symbol" w:hAnsi="Symbol"/>
        </w:rPr>
        <w:t></w:t>
      </w:r>
      <w:r>
        <w:t xml:space="preserve"> 1.15 </w:t>
      </w:r>
      <w:r>
        <w:rPr>
          <w:rFonts w:ascii="Symbol" w:hAnsi="Symbol"/>
        </w:rPr>
        <w:sym w:font="Symbol" w:char="F0B4"/>
      </w:r>
      <w:r>
        <w:t xml:space="preserve"> 186.7 </w:t>
      </w:r>
      <w:r>
        <w:rPr>
          <w:rFonts w:ascii="Symbol" w:hAnsi="Symbol"/>
        </w:rPr>
        <w:t></w:t>
      </w:r>
      <w:r>
        <w:t xml:space="preserve"> $214.705 million</w:t>
      </w:r>
      <w:r>
        <w:br/>
        <w:t xml:space="preserve">EBIT in 2013 </w:t>
      </w:r>
      <w:r>
        <w:rPr>
          <w:rFonts w:ascii="Symbol" w:hAnsi="Symbol"/>
        </w:rPr>
        <w:t></w:t>
      </w:r>
      <w:r>
        <w:t xml:space="preserve"> 4.50% </w:t>
      </w:r>
      <w:r>
        <w:rPr>
          <w:rFonts w:ascii="Symbol" w:hAnsi="Symbol"/>
        </w:rPr>
        <w:sym w:font="Symbol" w:char="F0B4"/>
      </w:r>
      <w:r>
        <w:t xml:space="preserve"> 214.705 </w:t>
      </w:r>
      <w:r>
        <w:rPr>
          <w:rFonts w:ascii="Symbol" w:hAnsi="Symbol"/>
        </w:rPr>
        <w:t></w:t>
      </w:r>
      <w:r>
        <w:t xml:space="preserve"> $9.66 million (there is no other income)</w:t>
      </w:r>
    </w:p>
    <w:p w:rsidR="00406EF8" w:rsidRDefault="00406EF8" w:rsidP="00406EF8">
      <w:pPr>
        <w:pStyle w:val="List2"/>
      </w:pPr>
      <w:r>
        <w:t>b.</w:t>
      </w:r>
      <w:r>
        <w:tab/>
        <w:t xml:space="preserve">Net income in 2013 </w:t>
      </w:r>
      <w:r>
        <w:rPr>
          <w:rFonts w:ascii="Symbol" w:hAnsi="Symbol"/>
        </w:rPr>
        <w:t></w:t>
      </w:r>
      <w:r>
        <w:t xml:space="preserve"> EBIT </w:t>
      </w:r>
      <w:r>
        <w:rPr>
          <w:rFonts w:ascii="Symbol" w:hAnsi="Symbol"/>
        </w:rPr>
        <w:t></w:t>
      </w:r>
      <w:r>
        <w:t xml:space="preserve"> interest expenses </w:t>
      </w:r>
      <w:r>
        <w:rPr>
          <w:rFonts w:ascii="Symbol" w:hAnsi="Symbol"/>
        </w:rPr>
        <w:t></w:t>
      </w:r>
      <w:r>
        <w:t xml:space="preserve"> taxes </w:t>
      </w:r>
    </w:p>
    <w:p w:rsidR="00406EF8" w:rsidRDefault="00406EF8" w:rsidP="00406EF8">
      <w:pPr>
        <w:pStyle w:val="List2"/>
      </w:pPr>
      <w:r>
        <w:tab/>
      </w:r>
      <w:r>
        <w:tab/>
      </w:r>
      <w:r>
        <w:tab/>
      </w:r>
      <w:r>
        <w:rPr>
          <w:rFonts w:ascii="Symbol" w:hAnsi="Symbol"/>
        </w:rPr>
        <w:t></w:t>
      </w:r>
      <w:r>
        <w:t xml:space="preserve"> (9.66 </w:t>
      </w:r>
      <w:r>
        <w:rPr>
          <w:rFonts w:ascii="Symbol" w:hAnsi="Symbol"/>
        </w:rPr>
        <w:t></w:t>
      </w:r>
      <w:r>
        <w:t xml:space="preserve"> 7.7) </w:t>
      </w:r>
      <w:r>
        <w:rPr>
          <w:rFonts w:ascii="Symbol" w:hAnsi="Symbol"/>
        </w:rPr>
        <w:sym w:font="Symbol" w:char="F0B4"/>
      </w:r>
      <w:r>
        <w:t xml:space="preserve"> (1 </w:t>
      </w:r>
      <w:r>
        <w:rPr>
          <w:rFonts w:ascii="Symbol" w:hAnsi="Symbol"/>
        </w:rPr>
        <w:t></w:t>
      </w:r>
      <w:r>
        <w:t xml:space="preserve"> 24%) </w:t>
      </w:r>
    </w:p>
    <w:p w:rsidR="00406EF8" w:rsidRDefault="00406EF8" w:rsidP="00406EF8">
      <w:pPr>
        <w:pStyle w:val="List2"/>
      </w:pPr>
      <w:r>
        <w:tab/>
      </w:r>
      <w:r>
        <w:tab/>
      </w:r>
      <w:r>
        <w:tab/>
      </w:r>
      <w:r>
        <w:rPr>
          <w:rFonts w:ascii="Symbol" w:hAnsi="Symbol"/>
        </w:rPr>
        <w:t></w:t>
      </w:r>
      <w:r>
        <w:t xml:space="preserve"> $1.49 million</w:t>
      </w:r>
    </w:p>
    <w:p w:rsidR="00406EF8" w:rsidRDefault="00406EF8" w:rsidP="00406EF8">
      <w:pPr>
        <w:pStyle w:val="List2"/>
      </w:pPr>
      <w:r>
        <w:t>c.</w:t>
      </w:r>
      <w:r>
        <w:tab/>
        <w:t>Share price</w:t>
      </w:r>
      <w:r w:rsidR="00880DDC" w:rsidRPr="00880DDC">
        <w:rPr>
          <w:position w:val="-26"/>
        </w:rPr>
        <w:object w:dxaOrig="6080" w:dyaOrig="639">
          <v:shape id="_x0000_i1061" type="#_x0000_t75" style="width:303.9pt;height:32.2pt" o:ole="">
            <v:imagedata r:id="rId82" o:title=""/>
          </v:shape>
          <o:OLEObject Type="Embed" ProgID="Equation.DSMT4" ShapeID="_x0000_i1061" DrawAspect="Content" ObjectID="_1458470231" r:id="rId83"/>
        </w:object>
      </w:r>
    </w:p>
    <w:p w:rsidR="00406EF8" w:rsidRDefault="00406EF8" w:rsidP="001B32B6">
      <w:pPr>
        <w:pStyle w:val="List1"/>
        <w:spacing w:before="0"/>
      </w:pPr>
      <w:r>
        <w:tab/>
      </w:r>
      <w:r>
        <w:tab/>
      </w:r>
      <w:r>
        <w:rPr>
          <w:b/>
          <w:bCs/>
        </w:rPr>
        <w:t>Evaluate:</w:t>
      </w:r>
      <w:r w:rsidR="00106723">
        <w:t xml:space="preserve"> </w:t>
      </w:r>
      <w:r>
        <w:t xml:space="preserve">The new aggressive marketing campaign succeeded in raising revenues by 15%. Unfortunately, operating margins fell from 5.57% to 4.50%, which reduced EBIT and net </w:t>
      </w:r>
      <w:r>
        <w:lastRenderedPageBreak/>
        <w:t>income. As a result, the stock price fell from $10 to $7.25. The new marketing campaign destroyed stockholder value and is therefore a failure.</w:t>
      </w:r>
    </w:p>
    <w:p w:rsidR="00406EF8" w:rsidRDefault="006F546F" w:rsidP="001B32B6">
      <w:pPr>
        <w:pStyle w:val="List1"/>
      </w:pPr>
      <w:r w:rsidRPr="006F546F">
        <w:rPr>
          <w:b/>
          <w:noProof/>
          <w:position w:val="-8"/>
        </w:rPr>
        <w:drawing>
          <wp:inline distT="0" distB="0" distL="0" distR="0">
            <wp:extent cx="298279" cy="210312"/>
            <wp:effectExtent l="19050" t="0" r="6521" b="0"/>
            <wp:docPr id="9"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79" cy="210312"/>
                    </a:xfrm>
                    <a:prstGeom prst="rect">
                      <a:avLst/>
                    </a:prstGeom>
                  </pic:spPr>
                </pic:pic>
              </a:graphicData>
            </a:graphic>
          </wp:inline>
        </w:drawing>
      </w:r>
      <w:r w:rsidR="00406EF8">
        <w:rPr>
          <w:b/>
        </w:rPr>
        <w:tab/>
        <w:t>31.</w:t>
      </w:r>
      <w:r w:rsidR="00406EF8">
        <w:rPr>
          <w:b/>
        </w:rPr>
        <w:tab/>
        <w:t>Plan:</w:t>
      </w:r>
      <w:r w:rsidR="00106723">
        <w:t xml:space="preserve"> </w:t>
      </w:r>
      <w:r w:rsidR="00406EF8">
        <w:t>The table presents raw data about Debt, Equity, Operating Income, and Interest Expense. While useful, this information does not easily tell us how much financial leverage each of these firms alone and by comparison is using. It also does not tell us how well each firm is able to support its debt. To accomplish this, we will compute various leverage ratios of each firm and then compare them.</w:t>
      </w:r>
    </w:p>
    <w:p w:rsidR="00406EF8" w:rsidRDefault="00406EF8" w:rsidP="001B32B6">
      <w:pPr>
        <w:pStyle w:val="List1"/>
        <w:spacing w:before="160" w:after="0"/>
        <w:rPr>
          <w:b/>
        </w:rPr>
      </w:pPr>
      <w:r>
        <w:rPr>
          <w:b/>
        </w:rPr>
        <w:tab/>
      </w:r>
      <w:r>
        <w:rPr>
          <w:b/>
        </w:rPr>
        <w:tab/>
        <w:t>Execute:</w:t>
      </w:r>
    </w:p>
    <w:p w:rsidR="00406EF8" w:rsidRDefault="00406EF8" w:rsidP="001B32B6">
      <w:pPr>
        <w:pStyle w:val="List2"/>
        <w:keepNext/>
      </w:pPr>
      <w:r>
        <w:t>a.</w:t>
      </w:r>
      <w:r>
        <w:tab/>
      </w:r>
      <w:r>
        <w:rPr>
          <w:b/>
          <w:bCs/>
        </w:rPr>
        <w:t xml:space="preserve">Firm A: </w:t>
      </w:r>
      <w:r w:rsidR="00880DDC" w:rsidRPr="00880DDC">
        <w:rPr>
          <w:b/>
          <w:bCs/>
          <w:position w:val="-22"/>
        </w:rPr>
        <w:object w:dxaOrig="3360" w:dyaOrig="580">
          <v:shape id="_x0000_i1062" type="#_x0000_t75" style="width:167.85pt;height:28.8pt" o:ole="">
            <v:imagedata r:id="rId84" o:title=""/>
          </v:shape>
          <o:OLEObject Type="Embed" ProgID="Equation.DSMT4" ShapeID="_x0000_i1062" DrawAspect="Content" ObjectID="_1458470232" r:id="rId85"/>
        </w:object>
      </w:r>
      <w:r>
        <w:br/>
      </w:r>
      <w:r>
        <w:rPr>
          <w:b/>
          <w:bCs/>
        </w:rPr>
        <w:t xml:space="preserve">Firm B: </w:t>
      </w:r>
      <w:r w:rsidR="00880DDC" w:rsidRPr="00880DDC">
        <w:rPr>
          <w:b/>
          <w:bCs/>
          <w:position w:val="-22"/>
        </w:rPr>
        <w:object w:dxaOrig="3280" w:dyaOrig="580">
          <v:shape id="_x0000_i1063" type="#_x0000_t75" style="width:164.1pt;height:28.8pt" o:ole="">
            <v:imagedata r:id="rId86" o:title=""/>
          </v:shape>
          <o:OLEObject Type="Embed" ProgID="Equation.DSMT4" ShapeID="_x0000_i1063" DrawAspect="Content" ObjectID="_1458470233" r:id="rId87"/>
        </w:object>
      </w:r>
    </w:p>
    <w:p w:rsidR="00406EF8" w:rsidRDefault="00406EF8" w:rsidP="001B32B6">
      <w:pPr>
        <w:pStyle w:val="List2"/>
        <w:keepNext/>
      </w:pPr>
      <w:r>
        <w:t>b.</w:t>
      </w:r>
      <w:r>
        <w:tab/>
      </w:r>
      <w:r>
        <w:rPr>
          <w:b/>
          <w:bCs/>
        </w:rPr>
        <w:t xml:space="preserve">Firm A: </w:t>
      </w:r>
      <w:r w:rsidR="00880DDC" w:rsidRPr="00880DDC">
        <w:rPr>
          <w:b/>
          <w:bCs/>
          <w:position w:val="-22"/>
        </w:rPr>
        <w:object w:dxaOrig="3220" w:dyaOrig="580">
          <v:shape id="_x0000_i1064" type="#_x0000_t75" style="width:161.05pt;height:28.8pt" o:ole="">
            <v:imagedata r:id="rId88" o:title=""/>
          </v:shape>
          <o:OLEObject Type="Embed" ProgID="Equation.DSMT4" ShapeID="_x0000_i1064" DrawAspect="Content" ObjectID="_1458470234" r:id="rId89"/>
        </w:object>
      </w:r>
      <w:r>
        <w:br/>
      </w:r>
      <w:r>
        <w:rPr>
          <w:b/>
          <w:bCs/>
        </w:rPr>
        <w:t xml:space="preserve">Firm B: </w:t>
      </w:r>
      <w:r w:rsidR="00880DDC" w:rsidRPr="00880DDC">
        <w:rPr>
          <w:b/>
          <w:bCs/>
          <w:position w:val="-22"/>
        </w:rPr>
        <w:object w:dxaOrig="3120" w:dyaOrig="580">
          <v:shape id="_x0000_i1065" type="#_x0000_t75" style="width:156.15pt;height:28.8pt" o:ole="">
            <v:imagedata r:id="rId90" o:title=""/>
          </v:shape>
          <o:OLEObject Type="Embed" ProgID="Equation.DSMT4" ShapeID="_x0000_i1065" DrawAspect="Content" ObjectID="_1458470235" r:id="rId91"/>
        </w:object>
      </w:r>
    </w:p>
    <w:p w:rsidR="00406EF8" w:rsidRDefault="00406EF8" w:rsidP="00406EF8">
      <w:pPr>
        <w:pStyle w:val="List2"/>
      </w:pPr>
      <w:r>
        <w:t>c.</w:t>
      </w:r>
      <w:r>
        <w:tab/>
      </w:r>
      <w:r>
        <w:rPr>
          <w:b/>
          <w:bCs/>
        </w:rPr>
        <w:t xml:space="preserve">Firm A: </w:t>
      </w:r>
      <w:r w:rsidR="00880DDC" w:rsidRPr="00880DDC">
        <w:rPr>
          <w:b/>
          <w:bCs/>
          <w:position w:val="-22"/>
        </w:rPr>
        <w:object w:dxaOrig="3180" w:dyaOrig="580">
          <v:shape id="_x0000_i1066" type="#_x0000_t75" style="width:159.15pt;height:28.8pt" o:ole="">
            <v:imagedata r:id="rId92" o:title=""/>
          </v:shape>
          <o:OLEObject Type="Embed" ProgID="Equation.DSMT4" ShapeID="_x0000_i1066" DrawAspect="Content" ObjectID="_1458470236" r:id="rId93"/>
        </w:object>
      </w:r>
      <w:r>
        <w:br/>
      </w:r>
      <w:r>
        <w:rPr>
          <w:b/>
          <w:bCs/>
        </w:rPr>
        <w:t xml:space="preserve">Firm B: </w:t>
      </w:r>
      <w:r w:rsidR="00880DDC" w:rsidRPr="00880DDC">
        <w:rPr>
          <w:b/>
          <w:bCs/>
          <w:position w:val="-22"/>
        </w:rPr>
        <w:object w:dxaOrig="2960" w:dyaOrig="580">
          <v:shape id="_x0000_i1067" type="#_x0000_t75" style="width:147.8pt;height:28.8pt" o:ole="">
            <v:imagedata r:id="rId94" o:title=""/>
          </v:shape>
          <o:OLEObject Type="Embed" ProgID="Equation.DSMT4" ShapeID="_x0000_i1067" DrawAspect="Content" ObjectID="_1458470237" r:id="rId95"/>
        </w:object>
      </w:r>
    </w:p>
    <w:p w:rsidR="00406EF8" w:rsidRDefault="00406EF8" w:rsidP="00406EF8">
      <w:pPr>
        <w:pStyle w:val="List1"/>
        <w:spacing w:before="160"/>
      </w:pPr>
      <w:r>
        <w:tab/>
      </w:r>
      <w:r>
        <w:tab/>
      </w:r>
      <w:r>
        <w:rPr>
          <w:b/>
          <w:bCs/>
        </w:rPr>
        <w:t>Evaluate:</w:t>
      </w:r>
      <w:r w:rsidR="00106723">
        <w:t xml:space="preserve"> </w:t>
      </w:r>
      <w:r>
        <w:t>Firm B has a lower coverage ratio and will have slightly more difficulty meeting its debt obligations than Firm A.</w:t>
      </w:r>
    </w:p>
    <w:p w:rsidR="00406EF8" w:rsidRDefault="006F546F" w:rsidP="00406EF8">
      <w:pPr>
        <w:pStyle w:val="List1"/>
      </w:pPr>
      <w:r w:rsidRPr="006F546F">
        <w:rPr>
          <w:b/>
          <w:noProof/>
          <w:position w:val="-8"/>
        </w:rPr>
        <w:drawing>
          <wp:inline distT="0" distB="0" distL="0" distR="0">
            <wp:extent cx="298279" cy="210312"/>
            <wp:effectExtent l="19050" t="0" r="6521" b="0"/>
            <wp:docPr id="10"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79" cy="210312"/>
                    </a:xfrm>
                    <a:prstGeom prst="rect">
                      <a:avLst/>
                    </a:prstGeom>
                  </pic:spPr>
                </pic:pic>
              </a:graphicData>
            </a:graphic>
          </wp:inline>
        </w:drawing>
      </w:r>
      <w:r w:rsidRPr="006F546F">
        <w:rPr>
          <w:b/>
          <w:position w:val="-8"/>
        </w:rPr>
        <w:tab/>
      </w:r>
      <w:r w:rsidR="00406EF8">
        <w:rPr>
          <w:b/>
        </w:rPr>
        <w:t>32.</w:t>
      </w:r>
      <w:r w:rsidR="00406EF8">
        <w:rPr>
          <w:b/>
        </w:rPr>
        <w:tab/>
        <w:t>Plan:</w:t>
      </w:r>
      <w:r w:rsidR="00106723">
        <w:t xml:space="preserve"> </w:t>
      </w:r>
      <w:r w:rsidR="00406EF8">
        <w:t>The table presents raw data about Sales, Accounts Receivable, and Inventory data for Walmart and Target. While useful, this information does not tell us</w:t>
      </w:r>
      <w:r w:rsidR="004222CE" w:rsidRPr="004222CE">
        <w:t xml:space="preserve"> </w:t>
      </w:r>
      <w:r w:rsidR="004222CE">
        <w:t>easily</w:t>
      </w:r>
      <w:r w:rsidR="00406EF8">
        <w:t xml:space="preserve"> how well each firm </w:t>
      </w:r>
      <w:r w:rsidR="00406EF8">
        <w:rPr>
          <w:spacing w:val="-2"/>
        </w:rPr>
        <w:t>is managing its Accounts Receivable and Inventory in general and in comparison with each other.</w:t>
      </w:r>
      <w:r w:rsidR="00406EF8">
        <w:t xml:space="preserve"> To accomplish this, we will compute the relevant ratios of each firm and then compare them.</w:t>
      </w:r>
    </w:p>
    <w:p w:rsidR="00406EF8" w:rsidRDefault="00406EF8" w:rsidP="00406EF8">
      <w:pPr>
        <w:pStyle w:val="List1"/>
        <w:spacing w:before="160"/>
        <w:rPr>
          <w:b/>
          <w:bCs/>
        </w:rPr>
      </w:pPr>
      <w:r>
        <w:tab/>
      </w:r>
      <w:r>
        <w:tab/>
      </w:r>
      <w:r>
        <w:rPr>
          <w:b/>
          <w:bCs/>
        </w:rPr>
        <w:t>Execute:</w:t>
      </w:r>
    </w:p>
    <w:p w:rsidR="00406EF8" w:rsidRDefault="00406EF8" w:rsidP="00406EF8">
      <w:pPr>
        <w:pStyle w:val="List2"/>
      </w:pPr>
      <w:r>
        <w:t>a.</w:t>
      </w:r>
      <w:r>
        <w:tab/>
        <w:t xml:space="preserve">Walmart: Accounts Receivable Days </w:t>
      </w:r>
      <w:r w:rsidR="004222CE" w:rsidRPr="004222CE">
        <w:rPr>
          <w:position w:val="-52"/>
        </w:rPr>
        <w:object w:dxaOrig="1840" w:dyaOrig="880">
          <v:shape id="_x0000_i1068" type="#_x0000_t75" style="width:92.1pt;height:43.6pt" o:ole="">
            <v:imagedata r:id="rId96" o:title=""/>
          </v:shape>
          <o:OLEObject Type="Embed" ProgID="Equation.DSMT4" ShapeID="_x0000_i1068" DrawAspect="Content" ObjectID="_1458470238" r:id="rId97"/>
        </w:object>
      </w:r>
    </w:p>
    <w:p w:rsidR="00406EF8" w:rsidRDefault="00406EF8" w:rsidP="00406EF8">
      <w:pPr>
        <w:pStyle w:val="List2"/>
      </w:pPr>
      <w:r>
        <w:tab/>
        <w:t xml:space="preserve">Target: Accounts Receivable Days </w:t>
      </w:r>
      <w:r w:rsidR="004222CE" w:rsidRPr="004222CE">
        <w:rPr>
          <w:position w:val="-52"/>
        </w:rPr>
        <w:object w:dxaOrig="1820" w:dyaOrig="880">
          <v:shape id="_x0000_i1069" type="#_x0000_t75" style="width:90.95pt;height:43.6pt" o:ole="">
            <v:imagedata r:id="rId98" o:title=""/>
          </v:shape>
          <o:OLEObject Type="Embed" ProgID="Equation.DSMT4" ShapeID="_x0000_i1069" DrawAspect="Content" ObjectID="_1458470239" r:id="rId99"/>
        </w:object>
      </w:r>
    </w:p>
    <w:p w:rsidR="00406EF8" w:rsidRDefault="00406EF8" w:rsidP="00406EF8">
      <w:pPr>
        <w:pStyle w:val="List2"/>
      </w:pPr>
      <w:r>
        <w:t>b.</w:t>
      </w:r>
      <w:r>
        <w:tab/>
        <w:t xml:space="preserve">Walmart: Inventory Turnover </w:t>
      </w:r>
      <w:r w:rsidR="00880DDC" w:rsidRPr="00880DDC">
        <w:rPr>
          <w:position w:val="-26"/>
        </w:rPr>
        <w:object w:dxaOrig="1600" w:dyaOrig="620">
          <v:shape id="_x0000_i1070" type="#_x0000_t75" style="width:79.6pt;height:31.05pt" o:ole="">
            <v:imagedata r:id="rId100" o:title=""/>
          </v:shape>
          <o:OLEObject Type="Embed" ProgID="Equation.DSMT4" ShapeID="_x0000_i1070" DrawAspect="Content" ObjectID="_1458470240" r:id="rId101"/>
        </w:object>
      </w:r>
    </w:p>
    <w:p w:rsidR="00406EF8" w:rsidRDefault="00406EF8" w:rsidP="00406EF8">
      <w:pPr>
        <w:pStyle w:val="List2"/>
      </w:pPr>
      <w:r>
        <w:tab/>
        <w:t xml:space="preserve">Target: Inventory Turnover </w:t>
      </w:r>
      <w:r w:rsidR="004222CE" w:rsidRPr="004222CE">
        <w:rPr>
          <w:position w:val="-26"/>
        </w:rPr>
        <w:object w:dxaOrig="1480" w:dyaOrig="620">
          <v:shape id="_x0000_i1071" type="#_x0000_t75" style="width:74.25pt;height:31.05pt" o:ole="">
            <v:imagedata r:id="rId102" o:title=""/>
          </v:shape>
          <o:OLEObject Type="Embed" ProgID="Equation.DSMT4" ShapeID="_x0000_i1071" DrawAspect="Content" ObjectID="_1458470241" r:id="rId103"/>
        </w:object>
      </w:r>
    </w:p>
    <w:p w:rsidR="00406EF8" w:rsidRDefault="00406EF8" w:rsidP="00406EF8">
      <w:pPr>
        <w:pStyle w:val="List2"/>
      </w:pPr>
      <w:r>
        <w:t>c.</w:t>
      </w:r>
      <w:r>
        <w:tab/>
        <w:t>Walmart is managing its accounts receivable and inventory more efficiently, as shown by the above ratios</w:t>
      </w:r>
      <w:r w:rsidR="000C2E3A">
        <w:t xml:space="preserve"> (shorter AR days and more AR turnover)</w:t>
      </w:r>
      <w:r>
        <w:t>.</w:t>
      </w:r>
    </w:p>
    <w:p w:rsidR="00406EF8" w:rsidRDefault="00406EF8" w:rsidP="00406EF8">
      <w:pPr>
        <w:pStyle w:val="List1"/>
        <w:spacing w:before="160"/>
      </w:pPr>
      <w:r>
        <w:tab/>
      </w:r>
      <w:r>
        <w:tab/>
      </w:r>
      <w:r>
        <w:rPr>
          <w:b/>
          <w:bCs/>
        </w:rPr>
        <w:t>Evaluate:</w:t>
      </w:r>
      <w:r w:rsidR="00106723">
        <w:t xml:space="preserve"> </w:t>
      </w:r>
      <w:r>
        <w:t xml:space="preserve">Walmart is managing its accounts receivable and inventory more efficiently, as shown by the above ratios. Walmart collects its accounts receivable in </w:t>
      </w:r>
      <w:r w:rsidR="000C2E3A">
        <w:t>5.27</w:t>
      </w:r>
      <w:r>
        <w:t xml:space="preserve"> days as opposed to </w:t>
      </w:r>
      <w:r>
        <w:lastRenderedPageBreak/>
        <w:t>3</w:t>
      </w:r>
      <w:r w:rsidR="000C2E3A">
        <w:t>4.14</w:t>
      </w:r>
      <w:r>
        <w:t xml:space="preserve"> days for Target. Likewise Walmart turns over its inventory </w:t>
      </w:r>
      <w:r w:rsidR="000C2E3A">
        <w:t>8.05</w:t>
      </w:r>
      <w:r>
        <w:t xml:space="preserve"> times a year, as opposed to 6.</w:t>
      </w:r>
      <w:r w:rsidR="000C2E3A">
        <w:t>40</w:t>
      </w:r>
      <w:r>
        <w:t xml:space="preserve"> times for Target.</w:t>
      </w:r>
    </w:p>
    <w:p w:rsidR="000C2E3A" w:rsidRDefault="006F546F" w:rsidP="001B32B6">
      <w:pPr>
        <w:pStyle w:val="List1-1"/>
        <w:keepNext/>
        <w:rPr>
          <w:color w:val="000000"/>
        </w:rPr>
      </w:pPr>
      <w:r w:rsidRPr="006F546F">
        <w:rPr>
          <w:b/>
          <w:noProof/>
          <w:position w:val="-8"/>
        </w:rPr>
        <w:drawing>
          <wp:inline distT="0" distB="0" distL="0" distR="0">
            <wp:extent cx="298279" cy="210312"/>
            <wp:effectExtent l="19050" t="0" r="6521" b="0"/>
            <wp:docPr id="11"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79" cy="210312"/>
                    </a:xfrm>
                    <a:prstGeom prst="rect">
                      <a:avLst/>
                    </a:prstGeom>
                  </pic:spPr>
                </pic:pic>
              </a:graphicData>
            </a:graphic>
          </wp:inline>
        </w:drawing>
      </w:r>
      <w:r w:rsidRPr="006F546F">
        <w:rPr>
          <w:b/>
          <w:position w:val="-8"/>
        </w:rPr>
        <w:tab/>
      </w:r>
      <w:r w:rsidR="000C2E3A">
        <w:rPr>
          <w:b/>
        </w:rPr>
        <w:t>33.</w:t>
      </w:r>
      <w:r w:rsidR="000C2E3A">
        <w:rPr>
          <w:b/>
        </w:rPr>
        <w:tab/>
      </w:r>
      <w:r w:rsidR="000C2E3A">
        <w:rPr>
          <w:color w:val="000000"/>
        </w:rPr>
        <w:t>a.</w:t>
      </w:r>
      <w:r w:rsidR="000C2E3A">
        <w:rPr>
          <w:color w:val="000000"/>
        </w:rPr>
        <w:tab/>
        <w:t>Market capitalization-to-revenue ratio</w:t>
      </w:r>
    </w:p>
    <w:p w:rsidR="000C2E3A" w:rsidRDefault="000C2E3A" w:rsidP="000C2E3A">
      <w:pPr>
        <w:pStyle w:val="List2"/>
        <w:tabs>
          <w:tab w:val="clear" w:pos="1200"/>
          <w:tab w:val="left" w:pos="1170"/>
        </w:tabs>
      </w:pPr>
      <w:r>
        <w:tab/>
      </w:r>
      <w:r w:rsidR="00880DDC" w:rsidRPr="00880DDC">
        <w:rPr>
          <w:position w:val="-22"/>
        </w:rPr>
        <w:object w:dxaOrig="1340" w:dyaOrig="580">
          <v:shape id="_x0000_i1072" type="#_x0000_t75" style="width:67.05pt;height:28.8pt" o:ole="">
            <v:imagedata r:id="rId104" o:title=""/>
          </v:shape>
          <o:OLEObject Type="Embed" ProgID="Equation.DSMT4" ShapeID="_x0000_i1072" DrawAspect="Content" ObjectID="_1458470242" r:id="rId105"/>
        </w:object>
      </w:r>
      <w:r>
        <w:t xml:space="preserve"> </w:t>
      </w:r>
      <w:proofErr w:type="gramStart"/>
      <w:r>
        <w:t>for</w:t>
      </w:r>
      <w:proofErr w:type="gramEnd"/>
      <w:r>
        <w:t xml:space="preserve"> United Airlines</w:t>
      </w:r>
    </w:p>
    <w:p w:rsidR="000C2E3A" w:rsidRDefault="000C2E3A" w:rsidP="000C2E3A">
      <w:pPr>
        <w:pStyle w:val="List2"/>
        <w:tabs>
          <w:tab w:val="clear" w:pos="1200"/>
          <w:tab w:val="left" w:pos="1170"/>
        </w:tabs>
        <w:rPr>
          <w:color w:val="000000"/>
        </w:rPr>
      </w:pPr>
      <w:r>
        <w:rPr>
          <w:color w:val="000000"/>
        </w:rPr>
        <w:tab/>
      </w:r>
      <w:r w:rsidR="00880DDC" w:rsidRPr="00880DDC">
        <w:rPr>
          <w:color w:val="000000"/>
          <w:position w:val="-22"/>
        </w:rPr>
        <w:object w:dxaOrig="1320" w:dyaOrig="580">
          <v:shape id="_x0000_i1073" type="#_x0000_t75" style="width:65.95pt;height:28.8pt" o:ole="">
            <v:imagedata r:id="rId106" o:title=""/>
          </v:shape>
          <o:OLEObject Type="Embed" ProgID="Equation.DSMT4" ShapeID="_x0000_i1073" DrawAspect="Content" ObjectID="_1458470243" r:id="rId107"/>
        </w:object>
      </w:r>
      <w:r>
        <w:rPr>
          <w:color w:val="000000"/>
        </w:rPr>
        <w:t xml:space="preserve"> </w:t>
      </w:r>
      <w:proofErr w:type="gramStart"/>
      <w:r>
        <w:rPr>
          <w:color w:val="000000"/>
        </w:rPr>
        <w:t>for</w:t>
      </w:r>
      <w:proofErr w:type="gramEnd"/>
      <w:r>
        <w:rPr>
          <w:color w:val="000000"/>
        </w:rPr>
        <w:t xml:space="preserve"> Southwest Airlines</w:t>
      </w:r>
    </w:p>
    <w:p w:rsidR="000C2E3A" w:rsidRDefault="000C2E3A" w:rsidP="006F546F">
      <w:pPr>
        <w:pStyle w:val="List2"/>
        <w:keepNext/>
      </w:pPr>
      <w:r>
        <w:t>b.</w:t>
      </w:r>
      <w:r>
        <w:tab/>
        <w:t>Enterprise value-to-revenue ratio</w:t>
      </w:r>
    </w:p>
    <w:p w:rsidR="000C2E3A" w:rsidRDefault="000C2E3A" w:rsidP="000C2E3A">
      <w:pPr>
        <w:pStyle w:val="List2"/>
        <w:tabs>
          <w:tab w:val="clear" w:pos="1200"/>
          <w:tab w:val="left" w:pos="1170"/>
        </w:tabs>
      </w:pPr>
      <w:r>
        <w:tab/>
      </w:r>
      <w:r w:rsidR="00880DDC" w:rsidRPr="00880DDC">
        <w:rPr>
          <w:position w:val="-22"/>
        </w:rPr>
        <w:object w:dxaOrig="2160" w:dyaOrig="580">
          <v:shape id="_x0000_i1074" type="#_x0000_t75" style="width:108pt;height:28.8pt" o:ole="">
            <v:imagedata r:id="rId108" o:title=""/>
          </v:shape>
          <o:OLEObject Type="Embed" ProgID="Equation.DSMT4" ShapeID="_x0000_i1074" DrawAspect="Content" ObjectID="_1458470244" r:id="rId109"/>
        </w:object>
      </w:r>
      <w:r>
        <w:t xml:space="preserve"> </w:t>
      </w:r>
      <w:proofErr w:type="gramStart"/>
      <w:r>
        <w:t>for</w:t>
      </w:r>
      <w:proofErr w:type="gramEnd"/>
      <w:r>
        <w:t xml:space="preserve"> United Airlines</w:t>
      </w:r>
    </w:p>
    <w:p w:rsidR="000C2E3A" w:rsidRDefault="000C2E3A" w:rsidP="000C2E3A">
      <w:pPr>
        <w:pStyle w:val="List2"/>
        <w:tabs>
          <w:tab w:val="clear" w:pos="1200"/>
          <w:tab w:val="left" w:pos="1170"/>
        </w:tabs>
      </w:pPr>
      <w:r>
        <w:tab/>
      </w:r>
      <w:r w:rsidR="00880DDC" w:rsidRPr="00880DDC">
        <w:rPr>
          <w:position w:val="-22"/>
        </w:rPr>
        <w:object w:dxaOrig="2079" w:dyaOrig="580">
          <v:shape id="_x0000_i1075" type="#_x0000_t75" style="width:104.2pt;height:28.8pt" o:ole="">
            <v:imagedata r:id="rId110" o:title=""/>
          </v:shape>
          <o:OLEObject Type="Embed" ProgID="Equation.DSMT4" ShapeID="_x0000_i1075" DrawAspect="Content" ObjectID="_1458470245" r:id="rId111"/>
        </w:object>
      </w:r>
      <w:r>
        <w:t xml:space="preserve"> </w:t>
      </w:r>
      <w:proofErr w:type="gramStart"/>
      <w:r>
        <w:t>for</w:t>
      </w:r>
      <w:proofErr w:type="gramEnd"/>
      <w:r>
        <w:t xml:space="preserve"> Southwest Airlines</w:t>
      </w:r>
    </w:p>
    <w:p w:rsidR="000C2E3A" w:rsidRDefault="000C2E3A" w:rsidP="000C2E3A">
      <w:pPr>
        <w:pStyle w:val="List2"/>
      </w:pPr>
      <w:r>
        <w:t>c.</w:t>
      </w:r>
      <w:r>
        <w:tab/>
        <w:t>The market capitalization-to-revenue ratio cannot be meaningfully compared when the firms have different amounts of leverage, as market capitalization measures only the value of the firm’s equity. The enterprise value-to-revenue ratio is therefore more useful when the firm’s leverage is quite different, as it is here.</w:t>
      </w:r>
    </w:p>
    <w:p w:rsidR="000C2E3A" w:rsidRDefault="000C2E3A" w:rsidP="000C2E3A">
      <w:pPr>
        <w:pStyle w:val="List1"/>
      </w:pPr>
      <w:r>
        <w:rPr>
          <w:b/>
        </w:rPr>
        <w:tab/>
        <w:t>34.</w:t>
      </w:r>
      <w:r>
        <w:rPr>
          <w:b/>
        </w:rPr>
        <w:tab/>
        <w:t>Plan:</w:t>
      </w:r>
      <w:r w:rsidR="00106723">
        <w:rPr>
          <w:bCs/>
        </w:rPr>
        <w:t xml:space="preserve"> </w:t>
      </w:r>
      <w:r>
        <w:t xml:space="preserve">Use the DuPont Identity to perform the analysis: </w:t>
      </w:r>
      <w:r>
        <w:br/>
        <w:t xml:space="preserve">Net Profit Margin </w:t>
      </w:r>
      <w:r>
        <w:rPr>
          <w:rFonts w:ascii="Symbol" w:hAnsi="Symbol"/>
        </w:rPr>
        <w:sym w:font="Symbol" w:char="F0B4"/>
      </w:r>
      <w:r>
        <w:t xml:space="preserve"> Total Asset Turnover </w:t>
      </w:r>
      <w:r>
        <w:rPr>
          <w:rFonts w:ascii="Symbol" w:hAnsi="Symbol"/>
        </w:rPr>
        <w:sym w:font="Symbol" w:char="F0B4"/>
      </w:r>
      <w:r>
        <w:t xml:space="preserve"> Total Assets/Equity</w:t>
      </w:r>
    </w:p>
    <w:p w:rsidR="000C2E3A" w:rsidRDefault="000C2E3A" w:rsidP="000C2E3A">
      <w:pPr>
        <w:pStyle w:val="List1"/>
        <w:spacing w:before="160"/>
        <w:rPr>
          <w:b/>
          <w:bCs/>
        </w:rPr>
      </w:pPr>
      <w:r>
        <w:tab/>
      </w:r>
      <w:r>
        <w:rPr>
          <w:b/>
          <w:bCs/>
        </w:rPr>
        <w:tab/>
        <w:t>Execute:</w:t>
      </w:r>
    </w:p>
    <w:p w:rsidR="000C2E3A" w:rsidRDefault="000C2E3A" w:rsidP="000C2E3A">
      <w:pPr>
        <w:pStyle w:val="List2"/>
      </w:pPr>
      <w:proofErr w:type="gramStart"/>
      <w:r>
        <w:t>a.</w:t>
      </w:r>
      <w:r>
        <w:tab/>
        <w:t>3.5</w:t>
      </w:r>
      <w:proofErr w:type="gramEnd"/>
      <w:r>
        <w:t xml:space="preserve">% </w:t>
      </w:r>
      <w:r>
        <w:rPr>
          <w:rFonts w:ascii="Symbol" w:hAnsi="Symbol"/>
        </w:rPr>
        <w:sym w:font="Symbol" w:char="F0B4"/>
      </w:r>
      <w:r>
        <w:t xml:space="preserve"> 1.8 </w:t>
      </w:r>
      <w:r>
        <w:rPr>
          <w:rFonts w:ascii="Symbol" w:hAnsi="Symbol"/>
        </w:rPr>
        <w:sym w:font="Symbol" w:char="F0B4"/>
      </w:r>
      <w:r>
        <w:t xml:space="preserve"> 44/18 </w:t>
      </w:r>
      <w:r>
        <w:rPr>
          <w:rFonts w:ascii="Symbol" w:hAnsi="Symbol"/>
        </w:rPr>
        <w:t></w:t>
      </w:r>
      <w:r>
        <w:t xml:space="preserve"> 15.4%</w:t>
      </w:r>
    </w:p>
    <w:p w:rsidR="000C2E3A" w:rsidRDefault="000C2E3A" w:rsidP="000C2E3A">
      <w:pPr>
        <w:pStyle w:val="List2"/>
      </w:pPr>
      <w:proofErr w:type="gramStart"/>
      <w:r>
        <w:t>b.</w:t>
      </w:r>
      <w:r>
        <w:tab/>
        <w:t>4</w:t>
      </w:r>
      <w:proofErr w:type="gramEnd"/>
      <w:r>
        <w:t xml:space="preserve">% </w:t>
      </w:r>
      <w:r>
        <w:rPr>
          <w:rFonts w:ascii="Symbol" w:hAnsi="Symbol"/>
        </w:rPr>
        <w:sym w:font="Symbol" w:char="F0B4"/>
      </w:r>
      <w:r>
        <w:t xml:space="preserve"> 1.8 </w:t>
      </w:r>
      <w:r>
        <w:rPr>
          <w:rFonts w:ascii="Symbol" w:hAnsi="Symbol"/>
        </w:rPr>
        <w:sym w:font="Symbol" w:char="F0B4"/>
      </w:r>
      <w:r>
        <w:t xml:space="preserve"> 44/18 </w:t>
      </w:r>
      <w:r>
        <w:rPr>
          <w:rFonts w:ascii="Symbol" w:hAnsi="Symbol"/>
        </w:rPr>
        <w:t></w:t>
      </w:r>
      <w:r>
        <w:t xml:space="preserve"> 17.6%</w:t>
      </w:r>
    </w:p>
    <w:p w:rsidR="000C2E3A" w:rsidRDefault="000C2E3A" w:rsidP="000C2E3A">
      <w:pPr>
        <w:pStyle w:val="List2"/>
      </w:pPr>
      <w:proofErr w:type="gramStart"/>
      <w:r>
        <w:t>c.</w:t>
      </w:r>
      <w:r>
        <w:tab/>
        <w:t>4</w:t>
      </w:r>
      <w:proofErr w:type="gramEnd"/>
      <w:r>
        <w:t xml:space="preserve">% </w:t>
      </w:r>
      <w:r>
        <w:rPr>
          <w:rFonts w:ascii="Symbol" w:hAnsi="Symbol"/>
        </w:rPr>
        <w:sym w:font="Symbol" w:char="F0B4"/>
      </w:r>
      <w:r>
        <w:t xml:space="preserve"> (1.8 </w:t>
      </w:r>
      <w:r>
        <w:rPr>
          <w:rFonts w:ascii="Symbol" w:hAnsi="Symbol"/>
        </w:rPr>
        <w:sym w:font="Symbol" w:char="F0B4"/>
      </w:r>
      <w:r>
        <w:t xml:space="preserve"> 1.2) </w:t>
      </w:r>
      <w:r>
        <w:rPr>
          <w:rFonts w:ascii="Symbol" w:hAnsi="Symbol"/>
        </w:rPr>
        <w:sym w:font="Symbol" w:char="F0B4"/>
      </w:r>
      <w:r>
        <w:t xml:space="preserve"> 44/18 </w:t>
      </w:r>
      <w:r>
        <w:rPr>
          <w:rFonts w:ascii="Symbol" w:hAnsi="Symbol"/>
        </w:rPr>
        <w:t></w:t>
      </w:r>
      <w:r>
        <w:t xml:space="preserve"> 21.1%</w:t>
      </w:r>
    </w:p>
    <w:p w:rsidR="000C2E3A" w:rsidRDefault="000C2E3A" w:rsidP="000C2E3A">
      <w:pPr>
        <w:pStyle w:val="List1"/>
      </w:pPr>
      <w:r>
        <w:rPr>
          <w:b/>
        </w:rPr>
        <w:tab/>
      </w:r>
      <w:r>
        <w:rPr>
          <w:b/>
        </w:rPr>
        <w:tab/>
        <w:t>Evaluate:</w:t>
      </w:r>
      <w:r w:rsidR="00106723">
        <w:rPr>
          <w:bCs/>
        </w:rPr>
        <w:t xml:space="preserve"> </w:t>
      </w:r>
      <w:r>
        <w:t xml:space="preserve">The analysis demonstrates different ways that a company can increase its overall ROE—by increasing its net profit margin or its asset turnover. </w:t>
      </w:r>
    </w:p>
    <w:p w:rsidR="000C2E3A" w:rsidRPr="006F546F" w:rsidRDefault="000C2E3A" w:rsidP="006F546F">
      <w:pPr>
        <w:pStyle w:val="List1-1"/>
        <w:rPr>
          <w:b/>
        </w:rPr>
      </w:pPr>
      <w:r>
        <w:rPr>
          <w:b/>
        </w:rPr>
        <w:tab/>
        <w:t>35.</w:t>
      </w:r>
      <w:r>
        <w:rPr>
          <w:b/>
        </w:rPr>
        <w:tab/>
      </w:r>
      <w:r>
        <w:t xml:space="preserve"> a.</w:t>
      </w:r>
      <w:r>
        <w:tab/>
        <w:t>GMCR’s Net Profit Margin</w:t>
      </w:r>
      <w:r>
        <w:rPr>
          <w:spacing w:val="-30"/>
        </w:rPr>
        <w:t xml:space="preserve"> </w:t>
      </w:r>
      <w:r w:rsidR="00D53F55" w:rsidRPr="00D53F55">
        <w:rPr>
          <w:spacing w:val="-30"/>
          <w:position w:val="-26"/>
        </w:rPr>
        <w:object w:dxaOrig="1820" w:dyaOrig="620">
          <v:shape id="_x0000_i1076" type="#_x0000_t75" style="width:90.95pt;height:31.05pt" o:ole="">
            <v:imagedata r:id="rId112" o:title=""/>
          </v:shape>
          <o:OLEObject Type="Embed" ProgID="Equation.DSMT4" ShapeID="_x0000_i1076" DrawAspect="Content" ObjectID="_1458470246" r:id="rId113"/>
        </w:object>
      </w:r>
      <w:r>
        <w:rPr>
          <w:color w:val="000000"/>
        </w:rPr>
        <w:br/>
      </w:r>
      <w:r>
        <w:t xml:space="preserve">GMCR’s Asset Turnover </w:t>
      </w:r>
      <w:r w:rsidR="00D53F55" w:rsidRPr="00D53F55">
        <w:rPr>
          <w:position w:val="-26"/>
        </w:rPr>
        <w:object w:dxaOrig="1640" w:dyaOrig="620">
          <v:shape id="_x0000_i1077" type="#_x0000_t75" style="width:81.85pt;height:31.05pt" o:ole="">
            <v:imagedata r:id="rId114" o:title=""/>
          </v:shape>
          <o:OLEObject Type="Embed" ProgID="Equation.DSMT4" ShapeID="_x0000_i1077" DrawAspect="Content" ObjectID="_1458470247" r:id="rId115"/>
        </w:object>
      </w:r>
      <w:r>
        <w:rPr>
          <w:color w:val="000000"/>
        </w:rPr>
        <w:br/>
      </w:r>
      <w:r>
        <w:t xml:space="preserve">GMCR’s Equity Multiplier </w:t>
      </w:r>
      <w:r w:rsidR="00D53F55" w:rsidRPr="00D53F55">
        <w:rPr>
          <w:position w:val="-26"/>
        </w:rPr>
        <w:object w:dxaOrig="1640" w:dyaOrig="620">
          <v:shape id="_x0000_i1078" type="#_x0000_t75" style="width:81.85pt;height:31.05pt" o:ole="">
            <v:imagedata r:id="rId116" o:title=""/>
          </v:shape>
          <o:OLEObject Type="Embed" ProgID="Equation.DSMT4" ShapeID="_x0000_i1078" DrawAspect="Content" ObjectID="_1458470248" r:id="rId117"/>
        </w:object>
      </w:r>
    </w:p>
    <w:p w:rsidR="000C2E3A" w:rsidRDefault="000C2E3A" w:rsidP="000C2E3A">
      <w:pPr>
        <w:pStyle w:val="List2"/>
      </w:pPr>
      <w:r>
        <w:t>b.</w:t>
      </w:r>
      <w:r>
        <w:tab/>
        <w:t xml:space="preserve">GMCR’s ROE (DuPont) </w:t>
      </w:r>
      <w:r w:rsidR="00880DDC" w:rsidRPr="00880DDC">
        <w:rPr>
          <w:position w:val="-10"/>
        </w:rPr>
        <w:object w:dxaOrig="2799" w:dyaOrig="300">
          <v:shape id="_x0000_i1079" type="#_x0000_t75" style="width:140.2pt;height:14.8pt" o:ole="">
            <v:imagedata r:id="rId118" o:title=""/>
          </v:shape>
          <o:OLEObject Type="Embed" ProgID="Equation.DSMT4" ShapeID="_x0000_i1079" DrawAspect="Content" ObjectID="_1458470249" r:id="rId119"/>
        </w:object>
      </w:r>
    </w:p>
    <w:p w:rsidR="000C2E3A" w:rsidRDefault="000C2E3A" w:rsidP="000C2E3A">
      <w:pPr>
        <w:pStyle w:val="List2"/>
        <w:rPr>
          <w:color w:val="000000"/>
        </w:rPr>
      </w:pPr>
      <w:r>
        <w:t>c.</w:t>
      </w:r>
      <w:r>
        <w:tab/>
        <w:t>GMCR’s revised ROE</w:t>
      </w:r>
      <w:r w:rsidR="00106723">
        <w:t xml:space="preserve"> </w:t>
      </w:r>
      <w:r>
        <w:rPr>
          <w:color w:val="000000"/>
        </w:rPr>
        <w:t xml:space="preserve">9.40% </w:t>
      </w:r>
      <w:r>
        <w:rPr>
          <w:rFonts w:ascii="Symbol" w:hAnsi="Symbol"/>
          <w:color w:val="000000"/>
        </w:rPr>
        <w:sym w:font="Symbol" w:char="F0B4"/>
      </w:r>
      <w:r>
        <w:rPr>
          <w:color w:val="000000"/>
        </w:rPr>
        <w:t xml:space="preserve"> 1.1363 </w:t>
      </w:r>
      <w:r>
        <w:rPr>
          <w:rFonts w:ascii="Symbol" w:hAnsi="Symbol"/>
          <w:color w:val="000000"/>
        </w:rPr>
        <w:sym w:font="Symbol" w:char="F0B4"/>
      </w:r>
      <w:r>
        <w:rPr>
          <w:color w:val="000000"/>
        </w:rPr>
        <w:t xml:space="preserve"> 1.60 </w:t>
      </w:r>
      <w:r>
        <w:rPr>
          <w:rFonts w:ascii="Symbol" w:hAnsi="Symbol"/>
          <w:color w:val="000000"/>
        </w:rPr>
        <w:t></w:t>
      </w:r>
      <w:r>
        <w:rPr>
          <w:color w:val="000000"/>
        </w:rPr>
        <w:t xml:space="preserve"> 17.09%.</w:t>
      </w:r>
    </w:p>
    <w:p w:rsidR="000C2E3A" w:rsidRDefault="000C2E3A" w:rsidP="000C2E3A">
      <w:pPr>
        <w:pStyle w:val="List2"/>
      </w:pPr>
      <w:r>
        <w:tab/>
        <w:t xml:space="preserve">GMCR’s would need to increase asset turnover to </w:t>
      </w:r>
      <w:r w:rsidR="00D53F55">
        <w:t xml:space="preserve">more than </w:t>
      </w:r>
      <w:r>
        <w:t>1.136 times.</w:t>
      </w:r>
    </w:p>
    <w:p w:rsidR="000C2E3A" w:rsidRPr="006F546F" w:rsidRDefault="000C2E3A" w:rsidP="006F546F">
      <w:pPr>
        <w:pStyle w:val="List1"/>
        <w:rPr>
          <w:b/>
          <w:bCs/>
        </w:rPr>
      </w:pPr>
      <w:r>
        <w:rPr>
          <w:b/>
        </w:rPr>
        <w:tab/>
        <w:t>36.</w:t>
      </w:r>
      <w:r>
        <w:rPr>
          <w:b/>
        </w:rPr>
        <w:tab/>
      </w:r>
      <w:r>
        <w:tab/>
        <w:t xml:space="preserve">Net Profit Margin </w:t>
      </w:r>
      <w:r w:rsidR="00D53F55" w:rsidRPr="00D53F55">
        <w:rPr>
          <w:position w:val="-26"/>
        </w:rPr>
        <w:object w:dxaOrig="1800" w:dyaOrig="620">
          <v:shape id="_x0000_i1080" type="#_x0000_t75" style="width:90.2pt;height:31.05pt" o:ole="">
            <v:imagedata r:id="rId120" o:title=""/>
          </v:shape>
          <o:OLEObject Type="Embed" ProgID="Equation.DSMT4" ShapeID="_x0000_i1080" DrawAspect="Content" ObjectID="_1458470250" r:id="rId121"/>
        </w:object>
      </w:r>
    </w:p>
    <w:p w:rsidR="000C2E3A" w:rsidRDefault="000C2E3A" w:rsidP="000C2E3A">
      <w:pPr>
        <w:pStyle w:val="List1"/>
        <w:spacing w:before="0"/>
      </w:pPr>
      <w:r>
        <w:tab/>
      </w:r>
      <w:r>
        <w:tab/>
        <w:t xml:space="preserve">Asset Turnover </w:t>
      </w:r>
      <w:r w:rsidR="00D53F55" w:rsidRPr="00D53F55">
        <w:rPr>
          <w:position w:val="-26"/>
        </w:rPr>
        <w:object w:dxaOrig="1620" w:dyaOrig="620">
          <v:shape id="_x0000_i1081" type="#_x0000_t75" style="width:80.7pt;height:31.05pt" o:ole="">
            <v:imagedata r:id="rId122" o:title=""/>
          </v:shape>
          <o:OLEObject Type="Embed" ProgID="Equation.DSMT4" ShapeID="_x0000_i1081" DrawAspect="Content" ObjectID="_1458470251" r:id="rId123"/>
        </w:object>
      </w:r>
    </w:p>
    <w:p w:rsidR="000C2E3A" w:rsidRDefault="000C2E3A" w:rsidP="000C2E3A">
      <w:pPr>
        <w:pStyle w:val="List1"/>
        <w:spacing w:before="0"/>
      </w:pPr>
      <w:r>
        <w:lastRenderedPageBreak/>
        <w:tab/>
      </w:r>
      <w:r>
        <w:tab/>
        <w:t xml:space="preserve">Asset Multiplier </w:t>
      </w:r>
      <w:r w:rsidR="00D53F55" w:rsidRPr="00D53F55">
        <w:rPr>
          <w:position w:val="-26"/>
        </w:rPr>
        <w:object w:dxaOrig="1500" w:dyaOrig="620">
          <v:shape id="_x0000_i1082" type="#_x0000_t75" style="width:74.65pt;height:31.05pt" o:ole="">
            <v:imagedata r:id="rId124" o:title=""/>
          </v:shape>
          <o:OLEObject Type="Embed" ProgID="Equation.DSMT4" ShapeID="_x0000_i1082" DrawAspect="Content" ObjectID="_1458470252" r:id="rId125"/>
        </w:object>
      </w:r>
    </w:p>
    <w:p w:rsidR="000C2E3A" w:rsidRDefault="000C2E3A" w:rsidP="000C2E3A">
      <w:pPr>
        <w:pStyle w:val="List1"/>
        <w:spacing w:before="0"/>
      </w:pPr>
      <w:r>
        <w:tab/>
      </w:r>
      <w:r>
        <w:tab/>
        <w:t xml:space="preserve">Starbucks’s ROE (DuPont) </w:t>
      </w:r>
      <w:r>
        <w:rPr>
          <w:rFonts w:ascii="Symbol" w:hAnsi="Symbol"/>
        </w:rPr>
        <w:t></w:t>
      </w:r>
      <w:r>
        <w:t xml:space="preserve"> 10.4% </w:t>
      </w:r>
      <w:r>
        <w:rPr>
          <w:rFonts w:ascii="Symbol" w:hAnsi="Symbol"/>
        </w:rPr>
        <w:sym w:font="Symbol" w:char="F0B4"/>
      </w:r>
      <w:r>
        <w:t xml:space="preserve"> 1.62 </w:t>
      </w:r>
      <w:r>
        <w:rPr>
          <w:rFonts w:ascii="Symbol" w:hAnsi="Symbol"/>
        </w:rPr>
        <w:sym w:font="Symbol" w:char="F0B4"/>
      </w:r>
      <w:r>
        <w:t xml:space="preserve"> 1.61 </w:t>
      </w:r>
      <w:r>
        <w:rPr>
          <w:rFonts w:ascii="Symbol" w:hAnsi="Symbol"/>
        </w:rPr>
        <w:t></w:t>
      </w:r>
      <w:r>
        <w:t xml:space="preserve"> 27.09%</w:t>
      </w:r>
    </w:p>
    <w:p w:rsidR="000C2E3A" w:rsidRDefault="000C2E3A" w:rsidP="000C2E3A">
      <w:pPr>
        <w:pStyle w:val="List1"/>
        <w:spacing w:before="0"/>
      </w:pPr>
      <w:r>
        <w:tab/>
      </w:r>
      <w:r>
        <w:tab/>
        <w:t>The two firms’ ROEs differ mainly because Starbucks has a higher asset turnover and profit margin</w:t>
      </w:r>
      <w:r w:rsidR="00D53F55">
        <w:t>.</w:t>
      </w:r>
      <w:r>
        <w:t xml:space="preserve"> (</w:t>
      </w:r>
      <w:r w:rsidR="00D53F55">
        <w:t>T</w:t>
      </w:r>
      <w:r>
        <w:t>heir asset multipliers, a measure of leverage, are essentially the same</w:t>
      </w:r>
      <w:r w:rsidR="00D53F55">
        <w:t>.</w:t>
      </w:r>
      <w:r>
        <w:t>)</w:t>
      </w:r>
    </w:p>
    <w:p w:rsidR="000C2E3A" w:rsidRDefault="006F546F" w:rsidP="000C2E3A">
      <w:pPr>
        <w:pStyle w:val="List1"/>
      </w:pPr>
      <w:r w:rsidRPr="006F546F">
        <w:rPr>
          <w:b/>
          <w:noProof/>
          <w:position w:val="-8"/>
        </w:rPr>
        <w:drawing>
          <wp:inline distT="0" distB="0" distL="0" distR="0">
            <wp:extent cx="298279" cy="210312"/>
            <wp:effectExtent l="19050" t="0" r="6521" b="0"/>
            <wp:docPr id="12"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7" cstate="print"/>
                    <a:stretch>
                      <a:fillRect/>
                    </a:stretch>
                  </pic:blipFill>
                  <pic:spPr>
                    <a:xfrm>
                      <a:off x="0" y="0"/>
                      <a:ext cx="298279" cy="210312"/>
                    </a:xfrm>
                    <a:prstGeom prst="rect">
                      <a:avLst/>
                    </a:prstGeom>
                  </pic:spPr>
                </pic:pic>
              </a:graphicData>
            </a:graphic>
          </wp:inline>
        </w:drawing>
      </w:r>
      <w:r w:rsidRPr="006F546F">
        <w:rPr>
          <w:b/>
          <w:position w:val="-8"/>
        </w:rPr>
        <w:tab/>
      </w:r>
      <w:r w:rsidR="000C2E3A">
        <w:rPr>
          <w:b/>
          <w:bCs/>
        </w:rPr>
        <w:t>37.</w:t>
      </w:r>
      <w:r w:rsidR="000C2E3A">
        <w:rPr>
          <w:b/>
          <w:bCs/>
        </w:rPr>
        <w:tab/>
        <w:t>Plan:</w:t>
      </w:r>
      <w:r>
        <w:t xml:space="preserve"> </w:t>
      </w:r>
      <w:r w:rsidR="000C2E3A">
        <w:t>You are presented with a large amount of financial information over several years about a company. You are asked to analyze this information around issues of profitability and book and market values of equity for your boss.</w:t>
      </w:r>
    </w:p>
    <w:p w:rsidR="000C2E3A" w:rsidRDefault="000C2E3A" w:rsidP="000C2E3A">
      <w:pPr>
        <w:pStyle w:val="List1"/>
        <w:spacing w:before="160"/>
        <w:rPr>
          <w:b/>
          <w:bCs/>
        </w:rPr>
      </w:pPr>
      <w:r>
        <w:rPr>
          <w:b/>
          <w:bCs/>
        </w:rPr>
        <w:tab/>
      </w:r>
      <w:r>
        <w:rPr>
          <w:b/>
          <w:bCs/>
        </w:rPr>
        <w:tab/>
        <w:t>Execute:</w:t>
      </w:r>
    </w:p>
    <w:p w:rsidR="000C2E3A" w:rsidRDefault="000C2E3A" w:rsidP="000C2E3A">
      <w:pPr>
        <w:pStyle w:val="List2"/>
      </w:pPr>
      <w:r>
        <w:t>a.</w:t>
      </w:r>
      <w:r>
        <w:tab/>
        <w:t>The book value of the equity decreased by $2.101 billion compared to that at the end of the previous quarter and was negative.</w:t>
      </w:r>
    </w:p>
    <w:p w:rsidR="000C2E3A" w:rsidRDefault="000C2E3A" w:rsidP="000C2E3A">
      <w:pPr>
        <w:pStyle w:val="List2"/>
      </w:pPr>
      <w:r>
        <w:t>b.</w:t>
      </w:r>
      <w:r>
        <w:tab/>
        <w:t>Because the book value of equity is negative in this case, the company’s market-to-book ratio and its book debt-equity ratio are not meaningful. Its market debt-equity ratio may be used in comparison.</w:t>
      </w:r>
    </w:p>
    <w:p w:rsidR="000C2E3A" w:rsidRDefault="000C2E3A" w:rsidP="000C2E3A">
      <w:pPr>
        <w:pStyle w:val="List2"/>
      </w:pPr>
      <w:r>
        <w:t>c.</w:t>
      </w:r>
      <w:r>
        <w:tab/>
        <w:t>Information from the statement of cash flows helped explain that the decrease of book value of equity resulted from an increase in debt that was used to repurchase $2.110 billion worth of the firm’s shares.</w:t>
      </w:r>
    </w:p>
    <w:p w:rsidR="000C2E3A" w:rsidRDefault="000C2E3A" w:rsidP="000C2E3A">
      <w:pPr>
        <w:pStyle w:val="List2"/>
      </w:pPr>
      <w:r>
        <w:t>d.</w:t>
      </w:r>
      <w:r>
        <w:tab/>
        <w:t>Negative book value of equity does not necessarily mean the firm is unprofitable. Loss in gross profit is only one possible cause. If a firm borrows to repurchase shares or invest in intangible assets (such as R&amp;D), it can have a negative book value of equity.</w:t>
      </w:r>
    </w:p>
    <w:p w:rsidR="000C2E3A" w:rsidRDefault="000C2E3A" w:rsidP="000C2E3A">
      <w:pPr>
        <w:pStyle w:val="List1"/>
      </w:pPr>
      <w:r>
        <w:tab/>
      </w:r>
      <w:r>
        <w:tab/>
      </w:r>
      <w:r>
        <w:rPr>
          <w:b/>
          <w:bCs/>
        </w:rPr>
        <w:t>Evaluate:</w:t>
      </w:r>
      <w:r w:rsidR="00106723">
        <w:t xml:space="preserve"> </w:t>
      </w:r>
      <w:r w:rsidR="000445DD">
        <w:t xml:space="preserve">The </w:t>
      </w:r>
      <w:proofErr w:type="gramStart"/>
      <w:r w:rsidR="000445DD">
        <w:t>company</w:t>
      </w:r>
      <w:proofErr w:type="gramEnd"/>
      <w:r>
        <w:t xml:space="preserve"> issued debt to buy back $2.11 billion in equity. Obviously, that resulted in a large increase in outstanding debt and a large decline in outstanding equity. This resulted in the book value of </w:t>
      </w:r>
      <w:r w:rsidR="000445DD">
        <w:t>the company</w:t>
      </w:r>
      <w:r>
        <w:t xml:space="preserve">’s equity being negative. On the surface, a negative book value of equity </w:t>
      </w:r>
      <w:r>
        <w:rPr>
          <w:spacing w:val="-2"/>
        </w:rPr>
        <w:t>would suggest an unprofitable if not failed firm. The reality in this case is much more complicated.</w:t>
      </w:r>
    </w:p>
    <w:p w:rsidR="00617AE8" w:rsidRDefault="00D649AA">
      <w:pPr>
        <w:pStyle w:val="List1-1"/>
      </w:pPr>
      <w:r>
        <w:rPr>
          <w:b/>
          <w:bCs/>
        </w:rPr>
        <w:tab/>
        <w:t>3</w:t>
      </w:r>
      <w:r w:rsidR="00EB6E28">
        <w:rPr>
          <w:b/>
          <w:bCs/>
        </w:rPr>
        <w:t>8</w:t>
      </w:r>
      <w:r>
        <w:rPr>
          <w:b/>
          <w:bCs/>
        </w:rPr>
        <w:t>.</w:t>
      </w:r>
      <w:r>
        <w:tab/>
        <w:t>a.</w:t>
      </w:r>
      <w:r>
        <w:tab/>
      </w:r>
      <w:r w:rsidR="00B92FA2">
        <w:t>PricewaterhouseCoopers</w:t>
      </w:r>
      <w:r>
        <w:t xml:space="preserve"> LLP certified </w:t>
      </w:r>
      <w:proofErr w:type="spellStart"/>
      <w:r>
        <w:t>Peet’s</w:t>
      </w:r>
      <w:proofErr w:type="spellEnd"/>
      <w:r>
        <w:t xml:space="preserve"> financial statements.</w:t>
      </w:r>
    </w:p>
    <w:p w:rsidR="00D649AA" w:rsidRDefault="00D649AA">
      <w:pPr>
        <w:pStyle w:val="List2"/>
      </w:pPr>
      <w:r>
        <w:t>b.</w:t>
      </w:r>
      <w:r>
        <w:tab/>
        <w:t xml:space="preserve">The CEO, </w:t>
      </w:r>
      <w:r w:rsidR="00B92FA2">
        <w:t>Brian P. Kelley</w:t>
      </w:r>
      <w:r>
        <w:t xml:space="preserve">, and the CFO, </w:t>
      </w:r>
      <w:r w:rsidR="00B92FA2">
        <w:t xml:space="preserve">Frances G. </w:t>
      </w:r>
      <w:proofErr w:type="spellStart"/>
      <w:r w:rsidR="00B92FA2">
        <w:t>Rathke</w:t>
      </w:r>
      <w:proofErr w:type="spellEnd"/>
      <w:r>
        <w:t xml:space="preserve"> certified </w:t>
      </w:r>
      <w:r w:rsidR="00B92FA2">
        <w:t>GMCR’s</w:t>
      </w:r>
      <w:r>
        <w:t xml:space="preserve"> financial statements.</w:t>
      </w:r>
    </w:p>
    <w:sectPr w:rsidR="00D649AA" w:rsidSect="006F546F">
      <w:headerReference w:type="even" r:id="rId126"/>
      <w:headerReference w:type="default" r:id="rId127"/>
      <w:footerReference w:type="even" r:id="rId128"/>
      <w:footerReference w:type="default" r:id="rId129"/>
      <w:footerReference w:type="first" r:id="rId130"/>
      <w:pgSz w:w="12240" w:h="15840" w:code="1"/>
      <w:pgMar w:top="1440" w:right="1440" w:bottom="1440" w:left="1440" w:header="1008" w:footer="720" w:gutter="0"/>
      <w:pgNumType w:start="4"/>
      <w:cols w:space="720"/>
      <w:titlePg/>
      <w:docGrid w:linePitch="2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81D" w:rsidRDefault="002C681D">
      <w:r>
        <w:separator/>
      </w:r>
    </w:p>
  </w:endnote>
  <w:endnote w:type="continuationSeparator" w:id="0">
    <w:p w:rsidR="002C681D" w:rsidRDefault="002C68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rinthian Medium">
    <w:altName w:val="Courie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AE8" w:rsidRDefault="003E2605">
    <w:pPr>
      <w:pStyle w:val="Footer"/>
      <w:pBdr>
        <w:top w:val="single" w:sz="4" w:space="1" w:color="auto"/>
      </w:pBdr>
      <w:spacing w:before="360"/>
      <w:jc w:val="center"/>
      <w:rPr>
        <w:rFonts w:ascii="Times" w:hAnsi="Times"/>
        <w:sz w:val="18"/>
      </w:rPr>
    </w:pPr>
    <w:r>
      <w:rPr>
        <w:rFonts w:ascii="Times" w:hAnsi="Times"/>
        <w:sz w:val="18"/>
      </w:rPr>
      <w:t>© 2015</w:t>
    </w:r>
    <w:r w:rsidR="00D649AA">
      <w:rPr>
        <w:rFonts w:ascii="Times" w:hAnsi="Times"/>
        <w:sz w:val="18"/>
      </w:rPr>
      <w:t xml:space="preserve"> Pearson Education, Inc</w:t>
    </w:r>
    <w:r>
      <w:rPr>
        <w:rFonts w:ascii="Times" w:hAnsi="Times"/>
        <w:sz w:val="1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AE8" w:rsidRDefault="00D649AA">
    <w:pPr>
      <w:pStyle w:val="Footer"/>
      <w:pBdr>
        <w:top w:val="single" w:sz="4" w:space="1" w:color="auto"/>
      </w:pBdr>
      <w:spacing w:before="360"/>
      <w:jc w:val="center"/>
      <w:rPr>
        <w:rFonts w:ascii="Times" w:hAnsi="Times"/>
        <w:sz w:val="18"/>
      </w:rPr>
    </w:pPr>
    <w:r>
      <w:rPr>
        <w:rFonts w:ascii="Times" w:hAnsi="Times"/>
        <w:sz w:val="18"/>
      </w:rPr>
      <w:t>© 201</w:t>
    </w:r>
    <w:r w:rsidR="006F546F">
      <w:rPr>
        <w:rFonts w:ascii="Times" w:hAnsi="Times"/>
        <w:sz w:val="18"/>
      </w:rPr>
      <w:t>5</w:t>
    </w:r>
    <w:r>
      <w:rPr>
        <w:rFonts w:ascii="Times" w:hAnsi="Times"/>
        <w:sz w:val="18"/>
      </w:rPr>
      <w:t xml:space="preserve"> Pearson Education, Inc.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AE8" w:rsidRDefault="00D649AA">
    <w:pPr>
      <w:pStyle w:val="Footer"/>
      <w:pBdr>
        <w:top w:val="single" w:sz="4" w:space="1" w:color="auto"/>
      </w:pBdr>
      <w:spacing w:before="360"/>
      <w:jc w:val="center"/>
      <w:rPr>
        <w:rFonts w:ascii="Times" w:hAnsi="Times"/>
        <w:sz w:val="18"/>
      </w:rPr>
    </w:pPr>
    <w:r>
      <w:rPr>
        <w:rFonts w:ascii="Times" w:hAnsi="Times"/>
        <w:sz w:val="18"/>
      </w:rPr>
      <w:t>© 201</w:t>
    </w:r>
    <w:r w:rsidR="006F546F">
      <w:rPr>
        <w:rFonts w:ascii="Times" w:hAnsi="Times"/>
        <w:sz w:val="18"/>
      </w:rPr>
      <w:t>5</w:t>
    </w:r>
    <w:r>
      <w:rPr>
        <w:rFonts w:ascii="Times" w:hAnsi="Times"/>
        <w:sz w:val="18"/>
      </w:rPr>
      <w:t xml:space="preserve">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81D" w:rsidRDefault="002C681D">
      <w:r>
        <w:separator/>
      </w:r>
    </w:p>
  </w:footnote>
  <w:footnote w:type="continuationSeparator" w:id="0">
    <w:p w:rsidR="002C681D" w:rsidRDefault="002C6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AE8" w:rsidRDefault="00F46B0E">
    <w:pPr>
      <w:pStyle w:val="VersoHeader"/>
    </w:pPr>
    <w:r>
      <w:rPr>
        <w:rStyle w:val="PageNumber"/>
      </w:rPr>
      <w:fldChar w:fldCharType="begin"/>
    </w:r>
    <w:r w:rsidR="00D649AA">
      <w:rPr>
        <w:rStyle w:val="PageNumber"/>
      </w:rPr>
      <w:instrText xml:space="preserve"> PAGE </w:instrText>
    </w:r>
    <w:r>
      <w:rPr>
        <w:rStyle w:val="PageNumber"/>
      </w:rPr>
      <w:fldChar w:fldCharType="separate"/>
    </w:r>
    <w:r w:rsidR="00A71701">
      <w:rPr>
        <w:rStyle w:val="PageNumber"/>
        <w:noProof/>
      </w:rPr>
      <w:t>14</w:t>
    </w:r>
    <w:r>
      <w:rPr>
        <w:rStyle w:val="PageNumber"/>
      </w:rPr>
      <w:fldChar w:fldCharType="end"/>
    </w:r>
    <w:r w:rsidR="00D649AA">
      <w:t> </w:t>
    </w:r>
    <w:r w:rsidR="00D649AA">
      <w:t> </w:t>
    </w:r>
    <w:r w:rsidR="00D649AA">
      <w:t>Berk/DeMarzo/Harford</w:t>
    </w:r>
    <w:r w:rsidR="00D649AA">
      <w:t> </w:t>
    </w:r>
    <w:r w:rsidR="00D649AA">
      <w:t>•</w:t>
    </w:r>
    <w:r w:rsidR="00D649AA">
      <w:t> </w:t>
    </w:r>
    <w:r w:rsidR="00D649AA">
      <w:rPr>
        <w:i/>
        <w:iCs/>
      </w:rPr>
      <w:t xml:space="preserve">Fundamentals of Corporate Finance, </w:t>
    </w:r>
    <w:r w:rsidR="001B32B6" w:rsidRPr="001B32B6">
      <w:rPr>
        <w:iCs/>
      </w:rPr>
      <w:t>Third</w:t>
    </w:r>
    <w:r w:rsidR="00D649AA">
      <w:rPr>
        <w:iCs/>
      </w:rPr>
      <w:t xml:space="preserve">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AE8" w:rsidRDefault="00D649AA">
    <w:pPr>
      <w:pStyle w:val="RectoHeader"/>
    </w:pPr>
    <w:r>
      <w:rPr>
        <w:lang w:val="en-CA"/>
      </w:rPr>
      <w:t>Chapter 2</w:t>
    </w:r>
    <w:r>
      <w:t> </w:t>
    </w:r>
    <w:r>
      <w:t>Introduction to Financial Statement Analysis</w:t>
    </w:r>
    <w:r>
      <w:t> </w:t>
    </w:r>
    <w:r>
      <w:t> </w:t>
    </w:r>
    <w:r w:rsidR="00F46B0E">
      <w:rPr>
        <w:rStyle w:val="PageNumber"/>
      </w:rPr>
      <w:fldChar w:fldCharType="begin"/>
    </w:r>
    <w:r>
      <w:rPr>
        <w:rStyle w:val="PageNumber"/>
      </w:rPr>
      <w:instrText xml:space="preserve"> PAGE </w:instrText>
    </w:r>
    <w:r w:rsidR="00F46B0E">
      <w:rPr>
        <w:rStyle w:val="PageNumber"/>
      </w:rPr>
      <w:fldChar w:fldCharType="separate"/>
    </w:r>
    <w:r w:rsidR="00A71701">
      <w:rPr>
        <w:rStyle w:val="PageNumber"/>
      </w:rPr>
      <w:t>13</w:t>
    </w:r>
    <w:r w:rsidR="00F46B0E">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37EE576"/>
    <w:lvl w:ilvl="0">
      <w:start w:val="1"/>
      <w:numFmt w:val="decimal"/>
      <w:lvlText w:val="%1."/>
      <w:lvlJc w:val="left"/>
      <w:pPr>
        <w:tabs>
          <w:tab w:val="num" w:pos="1800"/>
        </w:tabs>
        <w:ind w:left="1800" w:hanging="360"/>
      </w:pPr>
    </w:lvl>
  </w:abstractNum>
  <w:abstractNum w:abstractNumId="1">
    <w:nsid w:val="FFFFFF7D"/>
    <w:multiLevelType w:val="singleLevel"/>
    <w:tmpl w:val="F7F87E78"/>
    <w:lvl w:ilvl="0">
      <w:start w:val="1"/>
      <w:numFmt w:val="decimal"/>
      <w:lvlText w:val="%1."/>
      <w:lvlJc w:val="left"/>
      <w:pPr>
        <w:tabs>
          <w:tab w:val="num" w:pos="1440"/>
        </w:tabs>
        <w:ind w:left="1440" w:hanging="360"/>
      </w:pPr>
    </w:lvl>
  </w:abstractNum>
  <w:abstractNum w:abstractNumId="2">
    <w:nsid w:val="FFFFFF7E"/>
    <w:multiLevelType w:val="singleLevel"/>
    <w:tmpl w:val="49000EE0"/>
    <w:lvl w:ilvl="0">
      <w:start w:val="1"/>
      <w:numFmt w:val="decimal"/>
      <w:lvlText w:val="%1."/>
      <w:lvlJc w:val="left"/>
      <w:pPr>
        <w:tabs>
          <w:tab w:val="num" w:pos="1080"/>
        </w:tabs>
        <w:ind w:left="1080" w:hanging="360"/>
      </w:pPr>
    </w:lvl>
  </w:abstractNum>
  <w:abstractNum w:abstractNumId="3">
    <w:nsid w:val="FFFFFF7F"/>
    <w:multiLevelType w:val="singleLevel"/>
    <w:tmpl w:val="E9724F86"/>
    <w:lvl w:ilvl="0">
      <w:start w:val="1"/>
      <w:numFmt w:val="decimal"/>
      <w:lvlText w:val="%1."/>
      <w:lvlJc w:val="left"/>
      <w:pPr>
        <w:tabs>
          <w:tab w:val="num" w:pos="720"/>
        </w:tabs>
        <w:ind w:left="720" w:hanging="360"/>
      </w:pPr>
    </w:lvl>
  </w:abstractNum>
  <w:abstractNum w:abstractNumId="4">
    <w:nsid w:val="FFFFFF80"/>
    <w:multiLevelType w:val="singleLevel"/>
    <w:tmpl w:val="D758FE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7FCF4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5764EA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F2A065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DB2B02A"/>
    <w:lvl w:ilvl="0">
      <w:start w:val="1"/>
      <w:numFmt w:val="decimal"/>
      <w:pStyle w:val="ListBullet"/>
      <w:lvlText w:val="%1."/>
      <w:lvlJc w:val="left"/>
      <w:pPr>
        <w:tabs>
          <w:tab w:val="num" w:pos="360"/>
        </w:tabs>
        <w:ind w:left="360" w:hanging="360"/>
      </w:pPr>
    </w:lvl>
  </w:abstractNum>
  <w:abstractNum w:abstractNumId="9">
    <w:nsid w:val="19993425"/>
    <w:multiLevelType w:val="hybridMultilevel"/>
    <w:tmpl w:val="D9588582"/>
    <w:lvl w:ilvl="0" w:tplc="275E871E">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B83AA3"/>
    <w:multiLevelType w:val="multilevel"/>
    <w:tmpl w:val="CCAEE70E"/>
    <w:lvl w:ilvl="0">
      <w:start w:val="1"/>
      <w:numFmt w:val="decimal"/>
      <w:lvlText w:val="%1."/>
      <w:lvlJc w:val="left"/>
      <w:pPr>
        <w:tabs>
          <w:tab w:val="num" w:pos="450"/>
        </w:tabs>
        <w:ind w:left="450" w:hanging="450"/>
      </w:pPr>
      <w:rPr>
        <w:rFonts w:hint="default"/>
      </w:rPr>
    </w:lvl>
    <w:lvl w:ilvl="1">
      <w:start w:val="1"/>
      <w:numFmt w:val="decimal"/>
      <w:lvlText w:val="2-%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8E714BB"/>
    <w:multiLevelType w:val="hybridMultilevel"/>
    <w:tmpl w:val="EBF8239E"/>
    <w:lvl w:ilvl="0" w:tplc="A9DAC2D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B305FC"/>
    <w:multiLevelType w:val="hybridMultilevel"/>
    <w:tmpl w:val="FC527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535E85"/>
    <w:multiLevelType w:val="hybridMultilevel"/>
    <w:tmpl w:val="920E96EA"/>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6404460F"/>
    <w:multiLevelType w:val="hybridMultilevel"/>
    <w:tmpl w:val="FAE023B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0803C3A"/>
    <w:multiLevelType w:val="multilevel"/>
    <w:tmpl w:val="138AE6F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nsid w:val="710A51ED"/>
    <w:multiLevelType w:val="hybridMultilevel"/>
    <w:tmpl w:val="39C22B00"/>
    <w:lvl w:ilvl="0" w:tplc="B784EBE4">
      <w:start w:val="18"/>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7"/>
  </w:num>
  <w:num w:numId="3">
    <w:abstractNumId w:val="13"/>
  </w:num>
  <w:num w:numId="4">
    <w:abstractNumId w:val="15"/>
  </w:num>
  <w:num w:numId="5">
    <w:abstractNumId w:val="14"/>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0"/>
  </w:num>
  <w:num w:numId="14">
    <w:abstractNumId w:val="9"/>
  </w:num>
  <w:num w:numId="15">
    <w:abstractNumId w:val="11"/>
  </w:num>
  <w:num w:numId="16">
    <w:abstractNumId w:val="12"/>
  </w:num>
  <w:num w:numId="17">
    <w:abstractNumId w:val="16"/>
  </w:num>
  <w:num w:numId="18">
    <w:abstractNumId w:val="13"/>
  </w:num>
  <w:num w:numId="19">
    <w:abstractNumId w:val="8"/>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8"/>
  <w:mirrorMargins/>
  <w:proofState w:spelling="clean" w:grammar="clean"/>
  <w:attachedTemplate r:id="rId1"/>
  <w:linkStyles/>
  <w:trackRevisions/>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8193" fillcolor="black">
      <v:fill color="black"/>
    </o:shapedefaults>
  </w:hdrShapeDefaults>
  <w:footnotePr>
    <w:footnote w:id="-1"/>
    <w:footnote w:id="0"/>
  </w:footnotePr>
  <w:endnotePr>
    <w:endnote w:id="-1"/>
    <w:endnote w:id="0"/>
  </w:endnotePr>
  <w:compat/>
  <w:rsids>
    <w:rsidRoot w:val="00D50B84"/>
    <w:rsid w:val="00035BF4"/>
    <w:rsid w:val="000445DD"/>
    <w:rsid w:val="000C2E3A"/>
    <w:rsid w:val="00106723"/>
    <w:rsid w:val="001B32B6"/>
    <w:rsid w:val="00291C21"/>
    <w:rsid w:val="002C681D"/>
    <w:rsid w:val="00312003"/>
    <w:rsid w:val="003624AD"/>
    <w:rsid w:val="003B065C"/>
    <w:rsid w:val="003E2605"/>
    <w:rsid w:val="00406EF8"/>
    <w:rsid w:val="004222CE"/>
    <w:rsid w:val="00461D08"/>
    <w:rsid w:val="00617AE8"/>
    <w:rsid w:val="006F546F"/>
    <w:rsid w:val="00880DDC"/>
    <w:rsid w:val="00911E71"/>
    <w:rsid w:val="00A16847"/>
    <w:rsid w:val="00A71701"/>
    <w:rsid w:val="00B92FA2"/>
    <w:rsid w:val="00D50B84"/>
    <w:rsid w:val="00D53F55"/>
    <w:rsid w:val="00D649AA"/>
    <w:rsid w:val="00E7672F"/>
    <w:rsid w:val="00EB6E28"/>
    <w:rsid w:val="00F46B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black">
      <v:fill 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003"/>
  </w:style>
  <w:style w:type="paragraph" w:styleId="Heading1">
    <w:name w:val="heading 1"/>
    <w:basedOn w:val="Normal"/>
    <w:next w:val="Normal"/>
    <w:qFormat/>
    <w:rsid w:val="00312003"/>
    <w:pPr>
      <w:keepNext/>
      <w:jc w:val="center"/>
      <w:outlineLvl w:val="0"/>
    </w:pPr>
    <w:rPr>
      <w:sz w:val="24"/>
    </w:rPr>
  </w:style>
  <w:style w:type="paragraph" w:styleId="Heading2">
    <w:name w:val="heading 2"/>
    <w:basedOn w:val="Normal"/>
    <w:next w:val="Normal"/>
    <w:qFormat/>
    <w:rsid w:val="00312003"/>
    <w:pPr>
      <w:keepNext/>
      <w:outlineLvl w:val="1"/>
    </w:pPr>
    <w:rPr>
      <w:b/>
      <w:sz w:val="24"/>
      <w:u w:val="single"/>
    </w:rPr>
  </w:style>
  <w:style w:type="paragraph" w:styleId="Heading3">
    <w:name w:val="heading 3"/>
    <w:basedOn w:val="Normal"/>
    <w:next w:val="Normal"/>
    <w:qFormat/>
    <w:rsid w:val="00312003"/>
    <w:pPr>
      <w:keepNext/>
      <w:outlineLvl w:val="2"/>
    </w:pPr>
    <w:rPr>
      <w:sz w:val="24"/>
    </w:rPr>
  </w:style>
  <w:style w:type="paragraph" w:styleId="Heading4">
    <w:name w:val="heading 4"/>
    <w:basedOn w:val="Normal"/>
    <w:next w:val="Normal"/>
    <w:qFormat/>
    <w:rsid w:val="00312003"/>
    <w:pPr>
      <w:keepNext/>
      <w:tabs>
        <w:tab w:val="left" w:pos="720"/>
      </w:tabs>
      <w:spacing w:line="-240" w:lineRule="auto"/>
      <w:outlineLvl w:val="3"/>
    </w:pPr>
    <w:rPr>
      <w:b/>
      <w:sz w:val="24"/>
    </w:rPr>
  </w:style>
  <w:style w:type="paragraph" w:styleId="Heading5">
    <w:name w:val="heading 5"/>
    <w:basedOn w:val="Normal"/>
    <w:next w:val="Normal"/>
    <w:qFormat/>
    <w:rsid w:val="00312003"/>
    <w:pPr>
      <w:spacing w:before="240" w:after="60"/>
      <w:outlineLvl w:val="4"/>
    </w:pPr>
    <w:rPr>
      <w:sz w:val="22"/>
    </w:rPr>
  </w:style>
  <w:style w:type="paragraph" w:styleId="Heading6">
    <w:name w:val="heading 6"/>
    <w:basedOn w:val="Normal"/>
    <w:next w:val="Normal"/>
    <w:qFormat/>
    <w:rsid w:val="00312003"/>
    <w:pPr>
      <w:spacing w:before="240" w:after="60"/>
      <w:outlineLvl w:val="5"/>
    </w:pPr>
    <w:rPr>
      <w:i/>
      <w:sz w:val="22"/>
    </w:rPr>
  </w:style>
  <w:style w:type="paragraph" w:styleId="Heading7">
    <w:name w:val="heading 7"/>
    <w:basedOn w:val="Normal"/>
    <w:next w:val="Normal"/>
    <w:qFormat/>
    <w:rsid w:val="00312003"/>
    <w:pPr>
      <w:spacing w:before="240" w:after="60"/>
      <w:outlineLvl w:val="6"/>
    </w:pPr>
    <w:rPr>
      <w:rFonts w:ascii="Arial" w:hAnsi="Arial"/>
    </w:rPr>
  </w:style>
  <w:style w:type="paragraph" w:styleId="Heading8">
    <w:name w:val="heading 8"/>
    <w:basedOn w:val="Normal"/>
    <w:next w:val="Normal"/>
    <w:qFormat/>
    <w:rsid w:val="00312003"/>
    <w:pPr>
      <w:spacing w:before="240" w:after="60"/>
      <w:outlineLvl w:val="7"/>
    </w:pPr>
    <w:rPr>
      <w:rFonts w:ascii="Arial" w:hAnsi="Arial"/>
      <w:i/>
    </w:rPr>
  </w:style>
  <w:style w:type="paragraph" w:styleId="Heading9">
    <w:name w:val="heading 9"/>
    <w:basedOn w:val="Normal"/>
    <w:next w:val="Normal"/>
    <w:qFormat/>
    <w:rsid w:val="00312003"/>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6F546F"/>
    <w:pPr>
      <w:tabs>
        <w:tab w:val="right" w:pos="750"/>
        <w:tab w:val="left" w:pos="900"/>
      </w:tabs>
      <w:spacing w:before="200" w:after="60"/>
      <w:ind w:left="907" w:hanging="907"/>
    </w:pPr>
    <w:rPr>
      <w:rFonts w:ascii="Times" w:hAnsi="Times"/>
      <w:sz w:val="22"/>
    </w:rPr>
  </w:style>
  <w:style w:type="paragraph" w:customStyle="1" w:styleId="List2">
    <w:name w:val="List2"/>
    <w:basedOn w:val="Normal"/>
    <w:rsid w:val="00312003"/>
    <w:pPr>
      <w:tabs>
        <w:tab w:val="left" w:pos="1200"/>
      </w:tabs>
      <w:spacing w:after="40"/>
      <w:ind w:left="1202" w:hanging="302"/>
    </w:pPr>
    <w:rPr>
      <w:rFonts w:ascii="Times" w:hAnsi="Times"/>
      <w:sz w:val="22"/>
    </w:rPr>
  </w:style>
  <w:style w:type="paragraph" w:customStyle="1" w:styleId="List3">
    <w:name w:val="List3"/>
    <w:basedOn w:val="Normal"/>
    <w:rsid w:val="00312003"/>
    <w:pPr>
      <w:keepNext/>
      <w:tabs>
        <w:tab w:val="left" w:pos="1339"/>
      </w:tabs>
      <w:ind w:left="1339" w:hanging="432"/>
    </w:pPr>
    <w:rPr>
      <w:rFonts w:ascii="Times" w:hAnsi="Times"/>
      <w:sz w:val="22"/>
    </w:rPr>
  </w:style>
  <w:style w:type="paragraph" w:customStyle="1" w:styleId="List4">
    <w:name w:val="List4"/>
    <w:basedOn w:val="Normal"/>
    <w:rsid w:val="00312003"/>
    <w:pPr>
      <w:keepNext/>
      <w:tabs>
        <w:tab w:val="left" w:pos="1728"/>
      </w:tabs>
      <w:ind w:left="1728" w:hanging="389"/>
    </w:pPr>
    <w:rPr>
      <w:rFonts w:ascii="Times" w:hAnsi="Times"/>
      <w:sz w:val="22"/>
    </w:rPr>
  </w:style>
  <w:style w:type="paragraph" w:customStyle="1" w:styleId="List5">
    <w:name w:val="List5"/>
    <w:basedOn w:val="Normal"/>
    <w:rsid w:val="00312003"/>
    <w:pPr>
      <w:keepNext/>
      <w:tabs>
        <w:tab w:val="left" w:pos="1875"/>
      </w:tabs>
      <w:ind w:left="1725" w:hanging="225"/>
    </w:pPr>
    <w:rPr>
      <w:rFonts w:ascii="Times" w:hAnsi="Times"/>
      <w:sz w:val="22"/>
    </w:rPr>
  </w:style>
  <w:style w:type="paragraph" w:customStyle="1" w:styleId="H2">
    <w:name w:val="H2"/>
    <w:basedOn w:val="Heading3"/>
    <w:rsid w:val="00312003"/>
    <w:pPr>
      <w:spacing w:before="240" w:after="100"/>
      <w:ind w:right="504"/>
      <w:outlineLvl w:val="0"/>
    </w:pPr>
    <w:rPr>
      <w:rFonts w:ascii="Helvetica" w:hAnsi="Helvetica"/>
      <w:b/>
      <w:bCs/>
      <w:szCs w:val="22"/>
    </w:rPr>
  </w:style>
  <w:style w:type="paragraph" w:customStyle="1" w:styleId="T1">
    <w:name w:val="T1"/>
    <w:basedOn w:val="Normal"/>
    <w:rsid w:val="00312003"/>
    <w:pPr>
      <w:keepNext/>
    </w:pPr>
    <w:rPr>
      <w:rFonts w:ascii="Times" w:hAnsi="Times"/>
      <w:sz w:val="22"/>
    </w:rPr>
  </w:style>
  <w:style w:type="paragraph" w:customStyle="1" w:styleId="MCQ">
    <w:name w:val="MCQ"/>
    <w:basedOn w:val="Normal"/>
    <w:rsid w:val="00312003"/>
    <w:pPr>
      <w:spacing w:before="200" w:after="60"/>
    </w:pPr>
    <w:rPr>
      <w:rFonts w:ascii="Times" w:hAnsi="Times"/>
      <w:sz w:val="22"/>
    </w:rPr>
  </w:style>
  <w:style w:type="paragraph" w:customStyle="1" w:styleId="MCA">
    <w:name w:val="MCA"/>
    <w:basedOn w:val="Normal"/>
    <w:rsid w:val="00312003"/>
    <w:rPr>
      <w:rFonts w:ascii="Times" w:hAnsi="Times"/>
      <w:sz w:val="22"/>
    </w:rPr>
  </w:style>
  <w:style w:type="paragraph" w:customStyle="1" w:styleId="awTBfig">
    <w:name w:val="awTB_fig"/>
    <w:basedOn w:val="Normal"/>
    <w:next w:val="Normal"/>
    <w:rsid w:val="00312003"/>
    <w:pPr>
      <w:keepNext/>
      <w:keepLines/>
      <w:spacing w:before="200" w:after="40"/>
      <w:ind w:left="389"/>
      <w:outlineLvl w:val="1"/>
    </w:pPr>
    <w:rPr>
      <w:rFonts w:ascii="Times" w:hAnsi="Times"/>
      <w:snapToGrid w:val="0"/>
      <w:sz w:val="22"/>
    </w:rPr>
  </w:style>
  <w:style w:type="paragraph" w:customStyle="1" w:styleId="awTBfigCap">
    <w:name w:val="awTB_figCap"/>
    <w:basedOn w:val="Normal"/>
    <w:rsid w:val="00312003"/>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rsid w:val="00312003"/>
    <w:pPr>
      <w:keepNext/>
      <w:keepLines/>
      <w:tabs>
        <w:tab w:val="left" w:pos="640"/>
      </w:tabs>
      <w:spacing w:before="200" w:after="60"/>
      <w:outlineLvl w:val="2"/>
    </w:pPr>
    <w:rPr>
      <w:rFonts w:ascii="Times" w:hAnsi="Times"/>
      <w:snapToGrid w:val="0"/>
      <w:sz w:val="22"/>
    </w:rPr>
  </w:style>
  <w:style w:type="paragraph" w:customStyle="1" w:styleId="awTB03distractor">
    <w:name w:val="awTB_03_distractor"/>
    <w:basedOn w:val="Normal"/>
    <w:rsid w:val="00312003"/>
    <w:pPr>
      <w:keepNext/>
      <w:keepLines/>
      <w:tabs>
        <w:tab w:val="left" w:pos="720"/>
      </w:tabs>
      <w:spacing w:after="40"/>
      <w:outlineLvl w:val="2"/>
    </w:pPr>
    <w:rPr>
      <w:rFonts w:ascii="Times" w:hAnsi="Times"/>
      <w:snapToGrid w:val="0"/>
      <w:sz w:val="22"/>
    </w:rPr>
  </w:style>
  <w:style w:type="paragraph" w:customStyle="1" w:styleId="awTB01questionHead">
    <w:name w:val="awTB_01_questionHead"/>
    <w:basedOn w:val="Normal"/>
    <w:rsid w:val="00312003"/>
    <w:pPr>
      <w:keepNext/>
      <w:keepLines/>
      <w:spacing w:before="360" w:after="200"/>
      <w:outlineLvl w:val="1"/>
    </w:pPr>
    <w:rPr>
      <w:rFonts w:ascii="Helvetica" w:hAnsi="Helvetica"/>
      <w:b/>
      <w:sz w:val="28"/>
    </w:rPr>
  </w:style>
  <w:style w:type="paragraph" w:customStyle="1" w:styleId="awTB00chTitle">
    <w:name w:val="awTB_00_chTitle"/>
    <w:basedOn w:val="Normal"/>
    <w:next w:val="Normal"/>
    <w:rsid w:val="00312003"/>
    <w:pPr>
      <w:keepLines/>
      <w:spacing w:before="1440" w:after="720"/>
      <w:outlineLvl w:val="0"/>
    </w:pPr>
    <w:rPr>
      <w:rFonts w:ascii="Times" w:hAnsi="Times"/>
      <w:b/>
      <w:sz w:val="36"/>
    </w:rPr>
  </w:style>
  <w:style w:type="character" w:styleId="PageNumber">
    <w:name w:val="page number"/>
    <w:basedOn w:val="DefaultParagraphFont"/>
    <w:semiHidden/>
    <w:rsid w:val="00312003"/>
  </w:style>
  <w:style w:type="paragraph" w:customStyle="1" w:styleId="VersoHeader">
    <w:name w:val="Verso Header"/>
    <w:rsid w:val="00312003"/>
    <w:pPr>
      <w:pBdr>
        <w:bottom w:val="single" w:sz="4" w:space="2" w:color="auto"/>
      </w:pBdr>
      <w:spacing w:after="360"/>
    </w:pPr>
    <w:rPr>
      <w:rFonts w:ascii="Times" w:hAnsi="Times"/>
      <w:sz w:val="18"/>
    </w:rPr>
  </w:style>
  <w:style w:type="paragraph" w:customStyle="1" w:styleId="RectoHeader">
    <w:name w:val="Recto Header"/>
    <w:rsid w:val="00312003"/>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rsid w:val="00312003"/>
    <w:pPr>
      <w:keepNext w:val="0"/>
      <w:tabs>
        <w:tab w:val="num" w:pos="2160"/>
      </w:tabs>
      <w:ind w:left="2160" w:hanging="180"/>
    </w:pPr>
  </w:style>
  <w:style w:type="paragraph" w:customStyle="1" w:styleId="KTtext">
    <w:name w:val="KT_text"/>
    <w:basedOn w:val="T1"/>
    <w:rsid w:val="00312003"/>
    <w:rPr>
      <w:szCs w:val="19"/>
    </w:rPr>
  </w:style>
  <w:style w:type="paragraph" w:customStyle="1" w:styleId="Problemlist1">
    <w:name w:val="Problem_list1"/>
    <w:basedOn w:val="Normal"/>
    <w:rsid w:val="00312003"/>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rsid w:val="00312003"/>
    <w:pPr>
      <w:keepNext/>
      <w:spacing w:before="200" w:after="60"/>
      <w:ind w:left="446" w:hanging="446"/>
    </w:pPr>
    <w:rPr>
      <w:rFonts w:ascii="Times" w:hAnsi="Times"/>
      <w:sz w:val="22"/>
    </w:rPr>
  </w:style>
  <w:style w:type="paragraph" w:customStyle="1" w:styleId="NL2">
    <w:name w:val="NL2"/>
    <w:rsid w:val="00312003"/>
    <w:pPr>
      <w:tabs>
        <w:tab w:val="left" w:pos="720"/>
      </w:tabs>
      <w:spacing w:after="40"/>
      <w:ind w:left="720" w:hanging="331"/>
    </w:pPr>
    <w:rPr>
      <w:rFonts w:ascii="Times" w:hAnsi="Times"/>
      <w:sz w:val="22"/>
    </w:rPr>
  </w:style>
  <w:style w:type="paragraph" w:customStyle="1" w:styleId="problemlist2">
    <w:name w:val="problem_list2"/>
    <w:basedOn w:val="awTB03distractor"/>
    <w:rsid w:val="00312003"/>
    <w:pPr>
      <w:ind w:left="720" w:hanging="331"/>
    </w:pPr>
  </w:style>
  <w:style w:type="paragraph" w:customStyle="1" w:styleId="MCQList1">
    <w:name w:val="MCQ_List1"/>
    <w:basedOn w:val="Problemlist1"/>
    <w:rsid w:val="00312003"/>
    <w:pPr>
      <w:tabs>
        <w:tab w:val="clear" w:pos="387"/>
        <w:tab w:val="right" w:pos="270"/>
        <w:tab w:val="left" w:pos="450"/>
      </w:tabs>
      <w:ind w:left="450" w:hanging="450"/>
    </w:pPr>
  </w:style>
  <w:style w:type="paragraph" w:customStyle="1" w:styleId="MCQList2">
    <w:name w:val="MCQ_List2"/>
    <w:basedOn w:val="Normal"/>
    <w:rsid w:val="00312003"/>
    <w:pPr>
      <w:keepLines/>
      <w:tabs>
        <w:tab w:val="left" w:pos="825"/>
      </w:tabs>
      <w:spacing w:after="40"/>
      <w:ind w:left="825" w:hanging="375"/>
      <w:outlineLvl w:val="2"/>
    </w:pPr>
    <w:rPr>
      <w:rFonts w:ascii="Times" w:hAnsi="Times"/>
      <w:snapToGrid w:val="0"/>
      <w:sz w:val="22"/>
    </w:rPr>
  </w:style>
  <w:style w:type="paragraph" w:customStyle="1" w:styleId="DQList1">
    <w:name w:val="DQ_List1"/>
    <w:basedOn w:val="MCQList1"/>
    <w:rsid w:val="00312003"/>
  </w:style>
  <w:style w:type="paragraph" w:customStyle="1" w:styleId="List6">
    <w:name w:val="List6"/>
    <w:basedOn w:val="List4"/>
    <w:rsid w:val="00312003"/>
    <w:pPr>
      <w:tabs>
        <w:tab w:val="left" w:pos="2250"/>
      </w:tabs>
      <w:ind w:hanging="825"/>
    </w:pPr>
  </w:style>
  <w:style w:type="paragraph" w:customStyle="1" w:styleId="equation">
    <w:name w:val="equation"/>
    <w:basedOn w:val="Normal"/>
    <w:rsid w:val="00312003"/>
    <w:pPr>
      <w:keepNext/>
      <w:tabs>
        <w:tab w:val="left" w:pos="3600"/>
        <w:tab w:val="left" w:pos="9000"/>
      </w:tabs>
      <w:spacing w:before="120" w:after="180"/>
      <w:jc w:val="center"/>
    </w:pPr>
    <w:rPr>
      <w:rFonts w:ascii="Times" w:hAnsi="Times"/>
      <w:sz w:val="22"/>
      <w:szCs w:val="22"/>
    </w:rPr>
  </w:style>
  <w:style w:type="paragraph" w:customStyle="1" w:styleId="NL3">
    <w:name w:val="NL3"/>
    <w:basedOn w:val="NormalWeb"/>
    <w:rsid w:val="00312003"/>
    <w:pPr>
      <w:keepNext/>
      <w:spacing w:before="200" w:after="40"/>
      <w:ind w:left="1200" w:hanging="375"/>
    </w:pPr>
    <w:rPr>
      <w:sz w:val="22"/>
      <w:szCs w:val="22"/>
    </w:rPr>
  </w:style>
  <w:style w:type="paragraph" w:styleId="NormalWeb">
    <w:name w:val="Normal (Web)"/>
    <w:basedOn w:val="Normal"/>
    <w:semiHidden/>
    <w:rsid w:val="00312003"/>
    <w:pPr>
      <w:spacing w:after="15"/>
    </w:pPr>
    <w:rPr>
      <w:sz w:val="24"/>
      <w:szCs w:val="24"/>
    </w:rPr>
  </w:style>
  <w:style w:type="paragraph" w:customStyle="1" w:styleId="RQ">
    <w:name w:val="RQ"/>
    <w:basedOn w:val="Normal"/>
    <w:rsid w:val="00312003"/>
    <w:pPr>
      <w:keepNext/>
      <w:ind w:left="450" w:hanging="450"/>
    </w:pPr>
  </w:style>
  <w:style w:type="paragraph" w:customStyle="1" w:styleId="RQ1">
    <w:name w:val="RQ1"/>
    <w:basedOn w:val="NL2"/>
    <w:rsid w:val="00312003"/>
    <w:pPr>
      <w:keepNext/>
      <w:tabs>
        <w:tab w:val="clear" w:pos="720"/>
        <w:tab w:val="left" w:pos="1125"/>
      </w:tabs>
      <w:ind w:left="825" w:hanging="375"/>
    </w:pPr>
  </w:style>
  <w:style w:type="paragraph" w:styleId="ListBullet">
    <w:name w:val="List Bullet"/>
    <w:basedOn w:val="Normal"/>
    <w:autoRedefine/>
    <w:semiHidden/>
    <w:rsid w:val="00312003"/>
    <w:pPr>
      <w:numPr>
        <w:numId w:val="19"/>
      </w:numPr>
    </w:pPr>
  </w:style>
  <w:style w:type="paragraph" w:customStyle="1" w:styleId="CO">
    <w:name w:val="CO"/>
    <w:basedOn w:val="MCQList1"/>
    <w:rsid w:val="00312003"/>
    <w:pPr>
      <w:spacing w:before="120" w:after="0"/>
      <w:ind w:left="446" w:hanging="446"/>
    </w:pPr>
    <w:rPr>
      <w:b/>
      <w:bCs/>
    </w:rPr>
  </w:style>
  <w:style w:type="paragraph" w:customStyle="1" w:styleId="TF">
    <w:name w:val="TF"/>
    <w:basedOn w:val="Normal"/>
    <w:rsid w:val="00312003"/>
    <w:pPr>
      <w:tabs>
        <w:tab w:val="left" w:pos="360"/>
        <w:tab w:val="right" w:pos="900"/>
        <w:tab w:val="left" w:pos="1080"/>
      </w:tabs>
      <w:spacing w:before="200" w:after="60"/>
      <w:ind w:left="1080" w:hanging="1080"/>
    </w:pPr>
    <w:rPr>
      <w:rFonts w:ascii="Times" w:hAnsi="Times"/>
      <w:sz w:val="22"/>
    </w:rPr>
  </w:style>
  <w:style w:type="paragraph" w:customStyle="1" w:styleId="PG">
    <w:name w:val="PG"/>
    <w:basedOn w:val="MCQList1"/>
    <w:rsid w:val="00312003"/>
  </w:style>
  <w:style w:type="character" w:customStyle="1" w:styleId="emailstyle15">
    <w:name w:val="emailstyle15"/>
    <w:basedOn w:val="DefaultParagraphFont"/>
    <w:semiHidden/>
    <w:rsid w:val="00312003"/>
    <w:rPr>
      <w:rFonts w:ascii="Arial" w:hAnsi="Arial" w:cs="Arial"/>
      <w:color w:val="000000"/>
      <w:sz w:val="20"/>
    </w:rPr>
  </w:style>
  <w:style w:type="paragraph" w:customStyle="1" w:styleId="BL">
    <w:name w:val="BL"/>
    <w:basedOn w:val="Normal"/>
    <w:rsid w:val="00312003"/>
    <w:pPr>
      <w:tabs>
        <w:tab w:val="left" w:pos="288"/>
      </w:tabs>
      <w:ind w:left="288" w:hanging="288"/>
    </w:pPr>
    <w:rPr>
      <w:rFonts w:ascii="Times" w:hAnsi="Times"/>
      <w:sz w:val="22"/>
      <w:szCs w:val="24"/>
    </w:rPr>
  </w:style>
  <w:style w:type="paragraph" w:customStyle="1" w:styleId="BLF">
    <w:name w:val="BLF"/>
    <w:basedOn w:val="BL"/>
    <w:rsid w:val="00312003"/>
    <w:pPr>
      <w:spacing w:before="120"/>
    </w:pPr>
  </w:style>
  <w:style w:type="paragraph" w:customStyle="1" w:styleId="ACDQ">
    <w:name w:val="ACD_Q"/>
    <w:basedOn w:val="MCQList1"/>
    <w:rsid w:val="00312003"/>
    <w:rPr>
      <w:i/>
    </w:rPr>
  </w:style>
  <w:style w:type="paragraph" w:customStyle="1" w:styleId="ADCA">
    <w:name w:val="ADC_A"/>
    <w:basedOn w:val="MCQList1"/>
    <w:rsid w:val="00312003"/>
  </w:style>
  <w:style w:type="paragraph" w:customStyle="1" w:styleId="acdA">
    <w:name w:val="acd_A"/>
    <w:basedOn w:val="ADCA"/>
    <w:rsid w:val="00312003"/>
  </w:style>
  <w:style w:type="paragraph" w:customStyle="1" w:styleId="ANS">
    <w:name w:val="ANS"/>
    <w:basedOn w:val="MCQList1"/>
    <w:rsid w:val="00312003"/>
    <w:pPr>
      <w:tabs>
        <w:tab w:val="clear" w:pos="450"/>
        <w:tab w:val="left" w:pos="446"/>
        <w:tab w:val="left" w:pos="792"/>
      </w:tabs>
      <w:ind w:left="792" w:hanging="792"/>
    </w:pPr>
  </w:style>
  <w:style w:type="paragraph" w:customStyle="1" w:styleId="ANSText">
    <w:name w:val="ANS_Text"/>
    <w:basedOn w:val="ANS"/>
    <w:rsid w:val="00312003"/>
    <w:pPr>
      <w:spacing w:before="0"/>
    </w:pPr>
  </w:style>
  <w:style w:type="paragraph" w:customStyle="1" w:styleId="LB">
    <w:name w:val="LB"/>
    <w:basedOn w:val="MCQList1"/>
    <w:rsid w:val="00312003"/>
    <w:pPr>
      <w:tabs>
        <w:tab w:val="clear" w:pos="270"/>
        <w:tab w:val="left" w:pos="288"/>
      </w:tabs>
      <w:spacing w:before="0" w:after="40"/>
      <w:ind w:left="300" w:hanging="300"/>
    </w:pPr>
  </w:style>
  <w:style w:type="paragraph" w:customStyle="1" w:styleId="LBF">
    <w:name w:val="LBF"/>
    <w:basedOn w:val="LB"/>
    <w:rsid w:val="00312003"/>
    <w:pPr>
      <w:spacing w:before="120"/>
      <w:ind w:left="302" w:hanging="302"/>
    </w:pPr>
  </w:style>
  <w:style w:type="paragraph" w:customStyle="1" w:styleId="Table">
    <w:name w:val="Table"/>
    <w:basedOn w:val="T1"/>
    <w:rsid w:val="00312003"/>
    <w:pPr>
      <w:spacing w:after="120"/>
    </w:pPr>
    <w:rPr>
      <w:b/>
      <w:bCs/>
    </w:rPr>
  </w:style>
  <w:style w:type="paragraph" w:customStyle="1" w:styleId="TB">
    <w:name w:val="TB"/>
    <w:basedOn w:val="T1"/>
    <w:rsid w:val="00312003"/>
  </w:style>
  <w:style w:type="paragraph" w:styleId="BodyTextIndent3">
    <w:name w:val="Body Text Indent 3"/>
    <w:basedOn w:val="Normal"/>
    <w:semiHidden/>
    <w:rsid w:val="00312003"/>
    <w:pPr>
      <w:ind w:left="1080" w:hanging="720"/>
    </w:pPr>
    <w:rPr>
      <w:sz w:val="24"/>
      <w:szCs w:val="24"/>
    </w:rPr>
  </w:style>
  <w:style w:type="paragraph" w:styleId="Footer">
    <w:name w:val="footer"/>
    <w:basedOn w:val="Normal"/>
    <w:semiHidden/>
    <w:rsid w:val="00312003"/>
    <w:pPr>
      <w:tabs>
        <w:tab w:val="center" w:pos="4320"/>
        <w:tab w:val="right" w:pos="8640"/>
      </w:tabs>
    </w:pPr>
  </w:style>
  <w:style w:type="paragraph" w:styleId="Header">
    <w:name w:val="header"/>
    <w:basedOn w:val="Normal"/>
    <w:semiHidden/>
    <w:rsid w:val="00312003"/>
    <w:pPr>
      <w:tabs>
        <w:tab w:val="center" w:pos="4320"/>
        <w:tab w:val="right" w:pos="8640"/>
      </w:tabs>
    </w:pPr>
  </w:style>
  <w:style w:type="paragraph" w:customStyle="1" w:styleId="MCQList2sub">
    <w:name w:val="MCQ_List2_sub"/>
    <w:basedOn w:val="MCQList2"/>
    <w:rsid w:val="00312003"/>
    <w:pPr>
      <w:tabs>
        <w:tab w:val="clear" w:pos="825"/>
        <w:tab w:val="left" w:pos="821"/>
        <w:tab w:val="left" w:pos="1200"/>
      </w:tabs>
      <w:ind w:left="1200" w:hanging="754"/>
    </w:pPr>
  </w:style>
  <w:style w:type="paragraph" w:styleId="List30">
    <w:name w:val="List 3"/>
    <w:basedOn w:val="Normal"/>
    <w:semiHidden/>
    <w:rsid w:val="00312003"/>
    <w:pPr>
      <w:ind w:left="1080" w:hanging="360"/>
    </w:pPr>
  </w:style>
  <w:style w:type="paragraph" w:customStyle="1" w:styleId="list50">
    <w:name w:val="list5"/>
    <w:basedOn w:val="Normal"/>
    <w:rsid w:val="00312003"/>
    <w:pPr>
      <w:tabs>
        <w:tab w:val="left" w:pos="2016"/>
      </w:tabs>
      <w:ind w:left="2016" w:hanging="288"/>
    </w:pPr>
    <w:rPr>
      <w:rFonts w:ascii="Times" w:hAnsi="Times"/>
    </w:rPr>
  </w:style>
  <w:style w:type="paragraph" w:customStyle="1" w:styleId="T2">
    <w:name w:val="T2"/>
    <w:basedOn w:val="T1"/>
    <w:rsid w:val="00312003"/>
    <w:pPr>
      <w:spacing w:before="200"/>
    </w:pPr>
  </w:style>
  <w:style w:type="paragraph" w:styleId="EndnoteText">
    <w:name w:val="endnote text"/>
    <w:basedOn w:val="Normal"/>
    <w:semiHidden/>
    <w:rsid w:val="00312003"/>
    <w:pPr>
      <w:widowControl w:val="0"/>
    </w:pPr>
    <w:rPr>
      <w:rFonts w:ascii="Courier New" w:hAnsi="Courier New"/>
      <w:snapToGrid w:val="0"/>
      <w:sz w:val="24"/>
    </w:rPr>
  </w:style>
  <w:style w:type="paragraph" w:styleId="BodyText">
    <w:name w:val="Body Text"/>
    <w:basedOn w:val="Normal"/>
    <w:semiHidden/>
    <w:rsid w:val="00312003"/>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rsid w:val="00312003"/>
    <w:pPr>
      <w:widowControl w:val="0"/>
      <w:jc w:val="center"/>
    </w:pPr>
    <w:rPr>
      <w:rFonts w:ascii="Courier New" w:hAnsi="Courier New"/>
      <w:snapToGrid w:val="0"/>
      <w:sz w:val="32"/>
    </w:rPr>
  </w:style>
  <w:style w:type="character" w:styleId="CommentReference">
    <w:name w:val="annotation reference"/>
    <w:basedOn w:val="DefaultParagraphFont"/>
    <w:semiHidden/>
    <w:rsid w:val="00312003"/>
    <w:rPr>
      <w:sz w:val="16"/>
      <w:szCs w:val="16"/>
    </w:rPr>
  </w:style>
  <w:style w:type="paragraph" w:styleId="CommentText">
    <w:name w:val="annotation text"/>
    <w:basedOn w:val="Normal"/>
    <w:semiHidden/>
    <w:rsid w:val="00312003"/>
  </w:style>
  <w:style w:type="paragraph" w:styleId="CommentSubject">
    <w:name w:val="annotation subject"/>
    <w:basedOn w:val="CommentText"/>
    <w:next w:val="CommentText"/>
    <w:semiHidden/>
    <w:rsid w:val="00312003"/>
    <w:rPr>
      <w:b/>
      <w:bCs/>
    </w:rPr>
  </w:style>
  <w:style w:type="paragraph" w:styleId="BalloonText">
    <w:name w:val="Balloon Text"/>
    <w:basedOn w:val="Normal"/>
    <w:semiHidden/>
    <w:rsid w:val="00312003"/>
    <w:rPr>
      <w:rFonts w:ascii="Tahoma" w:hAnsi="Tahoma" w:cs="Tahoma"/>
      <w:sz w:val="16"/>
      <w:szCs w:val="16"/>
    </w:rPr>
  </w:style>
  <w:style w:type="paragraph" w:customStyle="1" w:styleId="BL2">
    <w:name w:val="BL2"/>
    <w:basedOn w:val="BL"/>
    <w:rsid w:val="00312003"/>
    <w:pPr>
      <w:tabs>
        <w:tab w:val="clear" w:pos="288"/>
        <w:tab w:val="left" w:pos="711"/>
      </w:tabs>
      <w:spacing w:after="60"/>
      <w:ind w:left="705" w:hanging="259"/>
    </w:pPr>
  </w:style>
  <w:style w:type="paragraph" w:customStyle="1" w:styleId="MCQList1a">
    <w:name w:val="MCQ_List1a"/>
    <w:basedOn w:val="MCQList1"/>
    <w:rsid w:val="00312003"/>
    <w:pPr>
      <w:tabs>
        <w:tab w:val="clear" w:pos="270"/>
        <w:tab w:val="right" w:pos="274"/>
        <w:tab w:val="left" w:pos="825"/>
      </w:tabs>
      <w:ind w:left="825" w:hanging="825"/>
    </w:pPr>
  </w:style>
  <w:style w:type="paragraph" w:customStyle="1" w:styleId="AuName">
    <w:name w:val="Au_Name"/>
    <w:basedOn w:val="H2"/>
    <w:rsid w:val="00312003"/>
    <w:pPr>
      <w:ind w:left="720" w:right="720"/>
      <w:jc w:val="center"/>
    </w:pPr>
    <w:rPr>
      <w:rFonts w:ascii="Times" w:hAnsi="Times"/>
      <w:i/>
      <w:iCs/>
    </w:rPr>
  </w:style>
  <w:style w:type="paragraph" w:customStyle="1" w:styleId="AuRef">
    <w:name w:val="Au_Ref"/>
    <w:basedOn w:val="T1"/>
    <w:rsid w:val="00312003"/>
    <w:pPr>
      <w:spacing w:after="200"/>
      <w:ind w:left="720" w:right="720"/>
      <w:jc w:val="center"/>
    </w:pPr>
  </w:style>
  <w:style w:type="paragraph" w:customStyle="1" w:styleId="AuText1">
    <w:name w:val="Au_Text1"/>
    <w:basedOn w:val="T1"/>
    <w:rsid w:val="00312003"/>
    <w:pPr>
      <w:ind w:left="720" w:right="720"/>
    </w:pPr>
  </w:style>
  <w:style w:type="paragraph" w:customStyle="1" w:styleId="AuText2">
    <w:name w:val="Au_Text2"/>
    <w:basedOn w:val="T2"/>
    <w:rsid w:val="00312003"/>
    <w:pPr>
      <w:ind w:left="720" w:right="720"/>
    </w:pPr>
  </w:style>
  <w:style w:type="character" w:styleId="FootnoteReference">
    <w:name w:val="footnote reference"/>
    <w:basedOn w:val="DefaultParagraphFont"/>
    <w:semiHidden/>
    <w:rsid w:val="00312003"/>
    <w:rPr>
      <w:sz w:val="22"/>
      <w:vertAlign w:val="superscript"/>
    </w:rPr>
  </w:style>
  <w:style w:type="paragraph" w:styleId="FootnoteText">
    <w:name w:val="footnote text"/>
    <w:basedOn w:val="Normal"/>
    <w:semiHidden/>
    <w:rsid w:val="00312003"/>
    <w:pPr>
      <w:spacing w:after="120"/>
      <w:jc w:val="both"/>
    </w:pPr>
    <w:rPr>
      <w:rFonts w:ascii="Times" w:hAnsi="Times"/>
      <w:sz w:val="18"/>
    </w:rPr>
  </w:style>
  <w:style w:type="paragraph" w:customStyle="1" w:styleId="CC1">
    <w:name w:val="CC1"/>
    <w:basedOn w:val="Normal"/>
    <w:rsid w:val="00312003"/>
    <w:pPr>
      <w:numPr>
        <w:numId w:val="18"/>
      </w:numPr>
    </w:pPr>
    <w:rPr>
      <w:sz w:val="24"/>
      <w:szCs w:val="24"/>
    </w:rPr>
  </w:style>
  <w:style w:type="paragraph" w:customStyle="1" w:styleId="EXList">
    <w:name w:val="EX_List"/>
    <w:basedOn w:val="T1"/>
    <w:rsid w:val="00312003"/>
    <w:pPr>
      <w:tabs>
        <w:tab w:val="left" w:leader="underscore" w:pos="672"/>
        <w:tab w:val="right" w:pos="1050"/>
        <w:tab w:val="left" w:pos="5760"/>
      </w:tabs>
      <w:spacing w:before="200" w:after="60"/>
      <w:ind w:left="1200" w:hanging="1200"/>
    </w:pPr>
  </w:style>
  <w:style w:type="paragraph" w:customStyle="1" w:styleId="exruler">
    <w:name w:val="ex_ruler"/>
    <w:basedOn w:val="T1"/>
    <w:rsid w:val="00312003"/>
    <w:pPr>
      <w:spacing w:before="120"/>
      <w:ind w:left="446"/>
    </w:pPr>
  </w:style>
  <w:style w:type="paragraph" w:customStyle="1" w:styleId="exruler1">
    <w:name w:val="ex_ruler1"/>
    <w:basedOn w:val="exruler"/>
    <w:rsid w:val="00312003"/>
    <w:pPr>
      <w:ind w:firstLine="450"/>
    </w:pPr>
  </w:style>
  <w:style w:type="paragraph" w:customStyle="1" w:styleId="extable">
    <w:name w:val="ex_table"/>
    <w:basedOn w:val="T1"/>
    <w:rsid w:val="00312003"/>
    <w:pPr>
      <w:tabs>
        <w:tab w:val="left" w:pos="525"/>
        <w:tab w:val="left" w:pos="1647"/>
        <w:tab w:val="left" w:pos="2175"/>
        <w:tab w:val="left" w:pos="3285"/>
        <w:tab w:val="left" w:pos="3825"/>
        <w:tab w:val="left" w:pos="4653"/>
        <w:tab w:val="left" w:pos="5175"/>
      </w:tabs>
      <w:ind w:left="18"/>
    </w:pPr>
  </w:style>
  <w:style w:type="paragraph" w:customStyle="1" w:styleId="extable1">
    <w:name w:val="ex_table1"/>
    <w:basedOn w:val="extable"/>
    <w:rsid w:val="00312003"/>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paragraph" w:customStyle="1" w:styleId="h3">
    <w:name w:val="h3"/>
    <w:basedOn w:val="T1"/>
    <w:rsid w:val="00312003"/>
    <w:pPr>
      <w:spacing w:before="200" w:after="120"/>
    </w:pPr>
    <w:rPr>
      <w:b/>
      <w:bCs/>
    </w:rPr>
  </w:style>
  <w:style w:type="paragraph" w:customStyle="1" w:styleId="SC1">
    <w:name w:val="SC1"/>
    <w:basedOn w:val="CC1"/>
    <w:rsid w:val="00312003"/>
    <w:pPr>
      <w:numPr>
        <w:numId w:val="0"/>
      </w:numPr>
    </w:pPr>
  </w:style>
  <w:style w:type="paragraph" w:customStyle="1" w:styleId="H30">
    <w:name w:val="H3"/>
    <w:basedOn w:val="T1"/>
    <w:rsid w:val="00312003"/>
    <w:pPr>
      <w:spacing w:before="200" w:after="100"/>
    </w:pPr>
    <w:rPr>
      <w:b/>
      <w:bCs/>
    </w:rPr>
  </w:style>
  <w:style w:type="character" w:customStyle="1" w:styleId="CarCar1">
    <w:name w:val="Car Car1"/>
    <w:basedOn w:val="DefaultParagraphFont"/>
    <w:rsid w:val="00312003"/>
    <w:rPr>
      <w:rFonts w:ascii="New York" w:hAnsi="New York"/>
      <w:spacing w:val="-5"/>
      <w:sz w:val="24"/>
      <w:lang w:val="en-US" w:eastAsia="en-US" w:bidi="ar-SA"/>
    </w:rPr>
  </w:style>
  <w:style w:type="character" w:customStyle="1" w:styleId="CarCar">
    <w:name w:val="Car Car"/>
    <w:basedOn w:val="CarCar1"/>
    <w:rsid w:val="00312003"/>
    <w:rPr>
      <w:rFonts w:ascii="New York" w:hAnsi="New York"/>
      <w:spacing w:val="-5"/>
      <w:sz w:val="24"/>
      <w:lang w:val="en-US" w:eastAsia="en-US" w:bidi="ar-SA"/>
    </w:rPr>
  </w:style>
  <w:style w:type="paragraph" w:styleId="BodyTextFirstIndent">
    <w:name w:val="Body Text First Indent"/>
    <w:basedOn w:val="BodyText"/>
    <w:semiHidden/>
    <w:rsid w:val="00312003"/>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0"/>
      <w:ind w:firstLine="210"/>
    </w:pPr>
    <w:rPr>
      <w:rFonts w:ascii="New York" w:hAnsi="New York"/>
      <w:snapToGrid/>
      <w:spacing w:val="0"/>
    </w:rPr>
  </w:style>
  <w:style w:type="paragraph" w:styleId="ListBullet2">
    <w:name w:val="List Bullet 2"/>
    <w:basedOn w:val="Normal"/>
    <w:autoRedefine/>
    <w:semiHidden/>
    <w:rsid w:val="00312003"/>
    <w:pPr>
      <w:numPr>
        <w:numId w:val="20"/>
      </w:numPr>
      <w:jc w:val="both"/>
    </w:pPr>
    <w:rPr>
      <w:rFonts w:ascii="New York" w:hAnsi="New York"/>
      <w:sz w:val="24"/>
    </w:rPr>
  </w:style>
  <w:style w:type="paragraph" w:customStyle="1" w:styleId="Textedebulles">
    <w:name w:val="Texte de bulles"/>
    <w:basedOn w:val="Normal"/>
    <w:semiHidden/>
    <w:rsid w:val="00312003"/>
    <w:pPr>
      <w:widowControl w:val="0"/>
      <w:autoSpaceDE w:val="0"/>
      <w:autoSpaceDN w:val="0"/>
      <w:adjustRightInd w:val="0"/>
    </w:pPr>
    <w:rPr>
      <w:rFonts w:ascii="Tahoma" w:hAnsi="Tahoma" w:cs="Tahoma"/>
      <w:sz w:val="16"/>
      <w:szCs w:val="16"/>
    </w:rPr>
  </w:style>
  <w:style w:type="paragraph" w:customStyle="1" w:styleId="equation-1">
    <w:name w:val="equation-1"/>
    <w:basedOn w:val="equation"/>
    <w:rsid w:val="00312003"/>
    <w:pPr>
      <w:spacing w:after="60"/>
    </w:pPr>
  </w:style>
  <w:style w:type="paragraph" w:customStyle="1" w:styleId="List1-1">
    <w:name w:val="List1-1"/>
    <w:basedOn w:val="List1"/>
    <w:rsid w:val="00312003"/>
    <w:pPr>
      <w:tabs>
        <w:tab w:val="left" w:pos="1200"/>
      </w:tabs>
      <w:ind w:left="1195" w:hanging="1195"/>
    </w:pPr>
  </w:style>
  <w:style w:type="character" w:customStyle="1" w:styleId="CharChar3">
    <w:name w:val="Char Char3"/>
    <w:basedOn w:val="DefaultParagraphFont"/>
    <w:rsid w:val="00312003"/>
    <w:rPr>
      <w:rFonts w:ascii="Cambria" w:eastAsia="Times New Roman" w:hAnsi="Cambria" w:cs="Times New Roman"/>
      <w:b/>
      <w:bCs/>
      <w:color w:val="365F91"/>
      <w:sz w:val="28"/>
      <w:szCs w:val="28"/>
    </w:rPr>
  </w:style>
  <w:style w:type="paragraph" w:styleId="NoSpacing">
    <w:name w:val="No Spacing"/>
    <w:qFormat/>
    <w:rsid w:val="00312003"/>
    <w:rPr>
      <w:rFonts w:eastAsia="Calibri"/>
      <w:sz w:val="22"/>
      <w:szCs w:val="22"/>
    </w:rPr>
  </w:style>
  <w:style w:type="character" w:styleId="Hyperlink">
    <w:name w:val="Hyperlink"/>
    <w:basedOn w:val="DefaultParagraphFont"/>
    <w:semiHidden/>
    <w:rsid w:val="00312003"/>
    <w:rPr>
      <w:color w:val="0000FF"/>
      <w:u w:val="single"/>
    </w:rPr>
  </w:style>
  <w:style w:type="paragraph" w:customStyle="1" w:styleId="ColorfulList-Accent11">
    <w:name w:val="Colorful List - Accent 11"/>
    <w:basedOn w:val="Normal"/>
    <w:qFormat/>
    <w:rsid w:val="00312003"/>
    <w:pPr>
      <w:spacing w:after="80" w:line="276" w:lineRule="auto"/>
      <w:ind w:left="720"/>
    </w:pPr>
    <w:rPr>
      <w:rFonts w:eastAsia="Calibri"/>
      <w:sz w:val="22"/>
      <w:szCs w:val="22"/>
    </w:rPr>
  </w:style>
  <w:style w:type="character" w:customStyle="1" w:styleId="CharChar2">
    <w:name w:val="Char Char2"/>
    <w:basedOn w:val="DefaultParagraphFont"/>
    <w:rsid w:val="00312003"/>
    <w:rPr>
      <w:rFonts w:ascii="Times New Roman" w:eastAsia="Times New Roman" w:hAnsi="Times New Roman" w:cs="Times New Roman"/>
      <w:sz w:val="24"/>
      <w:szCs w:val="24"/>
    </w:rPr>
  </w:style>
  <w:style w:type="character" w:customStyle="1" w:styleId="CharChar1">
    <w:name w:val="Char Char1"/>
    <w:basedOn w:val="DefaultParagraphFont"/>
    <w:semiHidden/>
    <w:rsid w:val="00312003"/>
    <w:rPr>
      <w:rFonts w:ascii="Times New Roman" w:hAnsi="Times New Roman"/>
      <w:sz w:val="20"/>
      <w:szCs w:val="20"/>
    </w:rPr>
  </w:style>
  <w:style w:type="character" w:customStyle="1" w:styleId="CharChar">
    <w:name w:val="Char Char"/>
    <w:basedOn w:val="CharChar1"/>
    <w:semiHidden/>
    <w:rsid w:val="00312003"/>
    <w:rPr>
      <w:rFonts w:ascii="Times New Roman" w:eastAsia="Times New Roman" w:hAnsi="Times New Roman" w:cs="Times New Roman"/>
      <w:b/>
      <w:bCs/>
      <w:sz w:val="20"/>
      <w:szCs w:val="20"/>
    </w:rPr>
  </w:style>
  <w:style w:type="paragraph" w:customStyle="1" w:styleId="CFTTL">
    <w:name w:val="CF_TTL"/>
    <w:rsid w:val="00312003"/>
    <w:pPr>
      <w:overflowPunct w:val="0"/>
      <w:autoSpaceDE w:val="0"/>
      <w:autoSpaceDN w:val="0"/>
      <w:adjustRightInd w:val="0"/>
      <w:spacing w:before="960" w:after="480" w:line="660" w:lineRule="exact"/>
      <w:ind w:left="360"/>
      <w:textAlignment w:val="baseline"/>
    </w:pPr>
    <w:rPr>
      <w:rFonts w:ascii="Corinthian Medium" w:hAnsi="Corinthian Medium"/>
      <w:sz w:val="56"/>
      <w:lang w:val="en-AU"/>
    </w:rPr>
  </w:style>
  <w:style w:type="paragraph" w:customStyle="1" w:styleId="headerverso">
    <w:name w:val="header_verso"/>
    <w:basedOn w:val="Header"/>
    <w:rsid w:val="00312003"/>
    <w:pPr>
      <w:pBdr>
        <w:bottom w:val="single" w:sz="8" w:space="2" w:color="auto"/>
      </w:pBdr>
      <w:spacing w:after="360"/>
    </w:pPr>
  </w:style>
  <w:style w:type="paragraph" w:customStyle="1" w:styleId="Note">
    <w:name w:val="Note"/>
    <w:basedOn w:val="T1"/>
    <w:rsid w:val="00312003"/>
    <w:pPr>
      <w:spacing w:after="240"/>
      <w:ind w:left="720" w:hanging="720"/>
    </w:pPr>
  </w:style>
  <w:style w:type="paragraph" w:customStyle="1" w:styleId="AnsweraL">
    <w:name w:val="Answer_aL"/>
    <w:basedOn w:val="Normal"/>
    <w:uiPriority w:val="99"/>
    <w:rsid w:val="00312003"/>
    <w:pPr>
      <w:tabs>
        <w:tab w:val="left" w:pos="1080"/>
      </w:tabs>
      <w:spacing w:before="120"/>
      <w:ind w:left="1080" w:hanging="360"/>
      <w:jc w:val="both"/>
    </w:pPr>
  </w:style>
  <w:style w:type="paragraph" w:customStyle="1" w:styleId="Answer">
    <w:name w:val="Answer"/>
    <w:basedOn w:val="Normal"/>
    <w:rsid w:val="00312003"/>
    <w:pPr>
      <w:tabs>
        <w:tab w:val="left" w:pos="720"/>
      </w:tabs>
      <w:spacing w:before="120"/>
      <w:ind w:left="720"/>
      <w:jc w:val="both"/>
    </w:pPr>
  </w:style>
  <w:style w:type="character" w:customStyle="1" w:styleId="CharChar4">
    <w:name w:val="Char Char4"/>
    <w:basedOn w:val="DefaultParagraphFont"/>
    <w:semiHidden/>
    <w:rsid w:val="00312003"/>
    <w:rPr>
      <w:b/>
      <w:bCs/>
    </w:rPr>
  </w:style>
  <w:style w:type="paragraph" w:styleId="Revision">
    <w:name w:val="Revision"/>
    <w:hidden/>
    <w:rsid w:val="00312003"/>
  </w:style>
  <w:style w:type="paragraph" w:styleId="ListParagraph">
    <w:name w:val="List Paragraph"/>
    <w:basedOn w:val="Normal"/>
    <w:qFormat/>
    <w:rsid w:val="00312003"/>
    <w:pPr>
      <w:spacing w:after="80" w:line="276" w:lineRule="auto"/>
      <w:ind w:left="720"/>
    </w:pPr>
    <w:rPr>
      <w:rFonts w:eastAsia="Calibri"/>
      <w:sz w:val="22"/>
      <w:szCs w:val="22"/>
    </w:rPr>
  </w:style>
  <w:style w:type="paragraph" w:customStyle="1" w:styleId="Question">
    <w:name w:val="Question"/>
    <w:basedOn w:val="NL"/>
    <w:uiPriority w:val="99"/>
    <w:rsid w:val="006F546F"/>
    <w:rPr>
      <w:b/>
    </w:rPr>
  </w:style>
  <w:style w:type="paragraph" w:customStyle="1" w:styleId="QuestionaL">
    <w:name w:val="Question_aL"/>
    <w:basedOn w:val="Question"/>
    <w:uiPriority w:val="99"/>
    <w:rsid w:val="006F546F"/>
    <w:pPr>
      <w:tabs>
        <w:tab w:val="clear" w:pos="750"/>
        <w:tab w:val="clear" w:pos="900"/>
      </w:tabs>
      <w:spacing w:before="120"/>
      <w:ind w:left="1260" w:hanging="360"/>
    </w:pPr>
    <w:rPr>
      <w:w w:val="0"/>
    </w:rPr>
  </w:style>
  <w:style w:type="paragraph" w:customStyle="1" w:styleId="NL">
    <w:name w:val="NL"/>
    <w:basedOn w:val="List1"/>
    <w:qFormat/>
    <w:rsid w:val="006F546F"/>
    <w:pPr>
      <w:spacing w:before="16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117" Type="http://schemas.openxmlformats.org/officeDocument/2006/relationships/oleObject" Target="embeddings/oleObject52.bin"/><Relationship Id="rId21" Type="http://schemas.openxmlformats.org/officeDocument/2006/relationships/package" Target="embeddings/Microsoft_Office_Excel_Worksheet2.xlsx"/><Relationship Id="rId42" Type="http://schemas.openxmlformats.org/officeDocument/2006/relationships/image" Target="media/image20.wmf"/><Relationship Id="rId47" Type="http://schemas.openxmlformats.org/officeDocument/2006/relationships/oleObject" Target="embeddings/oleObject17.bin"/><Relationship Id="rId63" Type="http://schemas.openxmlformats.org/officeDocument/2006/relationships/oleObject" Target="embeddings/oleObject25.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38.bin"/><Relationship Id="rId112" Type="http://schemas.openxmlformats.org/officeDocument/2006/relationships/image" Target="media/image55.wmf"/><Relationship Id="rId16" Type="http://schemas.openxmlformats.org/officeDocument/2006/relationships/oleObject" Target="embeddings/oleObject5.bin"/><Relationship Id="rId107" Type="http://schemas.openxmlformats.org/officeDocument/2006/relationships/oleObject" Target="embeddings/oleObject47.bin"/><Relationship Id="rId11" Type="http://schemas.openxmlformats.org/officeDocument/2006/relationships/image" Target="media/image3.wmf"/><Relationship Id="rId32" Type="http://schemas.openxmlformats.org/officeDocument/2006/relationships/image" Target="media/image15.wmf"/><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3.bin"/><Relationship Id="rId102" Type="http://schemas.openxmlformats.org/officeDocument/2006/relationships/image" Target="media/image50.wmf"/><Relationship Id="rId123" Type="http://schemas.openxmlformats.org/officeDocument/2006/relationships/oleObject" Target="embeddings/oleObject55.bin"/><Relationship Id="rId128"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image" Target="media/image44.wmf"/><Relationship Id="rId95" Type="http://schemas.openxmlformats.org/officeDocument/2006/relationships/oleObject" Target="embeddings/oleObject41.bin"/><Relationship Id="rId19" Type="http://schemas.openxmlformats.org/officeDocument/2006/relationships/package" Target="embeddings/Microsoft_Office_Excel_Worksheet1.xlsx"/><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image" Target="media/image12.emf"/><Relationship Id="rId30" Type="http://schemas.openxmlformats.org/officeDocument/2006/relationships/image" Target="media/image14.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28.bin"/><Relationship Id="rId77" Type="http://schemas.openxmlformats.org/officeDocument/2006/relationships/oleObject" Target="embeddings/oleObject32.bin"/><Relationship Id="rId100" Type="http://schemas.openxmlformats.org/officeDocument/2006/relationships/image" Target="media/image49.wmf"/><Relationship Id="rId105" Type="http://schemas.openxmlformats.org/officeDocument/2006/relationships/oleObject" Target="embeddings/oleObject46.bin"/><Relationship Id="rId113" Type="http://schemas.openxmlformats.org/officeDocument/2006/relationships/oleObject" Target="embeddings/oleObject50.bin"/><Relationship Id="rId118" Type="http://schemas.openxmlformats.org/officeDocument/2006/relationships/image" Target="media/image58.wmf"/><Relationship Id="rId126"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oleObject" Target="embeddings/oleObject19.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36.bin"/><Relationship Id="rId93" Type="http://schemas.openxmlformats.org/officeDocument/2006/relationships/oleObject" Target="embeddings/oleObject40.bin"/><Relationship Id="rId98" Type="http://schemas.openxmlformats.org/officeDocument/2006/relationships/image" Target="media/image48.wmf"/><Relationship Id="rId121" Type="http://schemas.openxmlformats.org/officeDocument/2006/relationships/oleObject" Target="embeddings/oleObject54.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jpeg"/><Relationship Id="rId25" Type="http://schemas.openxmlformats.org/officeDocument/2006/relationships/image" Target="media/image11.wmf"/><Relationship Id="rId33" Type="http://schemas.openxmlformats.org/officeDocument/2006/relationships/oleObject" Target="embeddings/oleObject10.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3.bin"/><Relationship Id="rId67" Type="http://schemas.openxmlformats.org/officeDocument/2006/relationships/oleObject" Target="embeddings/oleObject27.bin"/><Relationship Id="rId103" Type="http://schemas.openxmlformats.org/officeDocument/2006/relationships/oleObject" Target="embeddings/oleObject45.bin"/><Relationship Id="rId108" Type="http://schemas.openxmlformats.org/officeDocument/2006/relationships/image" Target="media/image53.wmf"/><Relationship Id="rId116" Type="http://schemas.openxmlformats.org/officeDocument/2006/relationships/image" Target="media/image57.wmf"/><Relationship Id="rId124" Type="http://schemas.openxmlformats.org/officeDocument/2006/relationships/image" Target="media/image61.wmf"/><Relationship Id="rId129" Type="http://schemas.openxmlformats.org/officeDocument/2006/relationships/footer" Target="footer2.xml"/><Relationship Id="rId20" Type="http://schemas.openxmlformats.org/officeDocument/2006/relationships/image" Target="media/image8.emf"/><Relationship Id="rId41" Type="http://schemas.openxmlformats.org/officeDocument/2006/relationships/oleObject" Target="embeddings/oleObject14.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1.bin"/><Relationship Id="rId83" Type="http://schemas.openxmlformats.org/officeDocument/2006/relationships/oleObject" Target="embeddings/oleObject35.bin"/><Relationship Id="rId88" Type="http://schemas.openxmlformats.org/officeDocument/2006/relationships/image" Target="media/image43.wmf"/><Relationship Id="rId91" Type="http://schemas.openxmlformats.org/officeDocument/2006/relationships/oleObject" Target="embeddings/oleObject39.bin"/><Relationship Id="rId96" Type="http://schemas.openxmlformats.org/officeDocument/2006/relationships/image" Target="media/image47.wmf"/><Relationship Id="rId111" Type="http://schemas.openxmlformats.org/officeDocument/2006/relationships/oleObject" Target="embeddings/oleObject49.bin"/><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8.bin"/><Relationship Id="rId57" Type="http://schemas.openxmlformats.org/officeDocument/2006/relationships/oleObject" Target="embeddings/oleObject22.bin"/><Relationship Id="rId106" Type="http://schemas.openxmlformats.org/officeDocument/2006/relationships/image" Target="media/image52.wmf"/><Relationship Id="rId114" Type="http://schemas.openxmlformats.org/officeDocument/2006/relationships/image" Target="media/image56.wmf"/><Relationship Id="rId119" Type="http://schemas.openxmlformats.org/officeDocument/2006/relationships/oleObject" Target="embeddings/oleObject53.bin"/><Relationship Id="rId127" Type="http://schemas.openxmlformats.org/officeDocument/2006/relationships/header" Target="header2.xml"/><Relationship Id="rId10"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image" Target="media/image38.wmf"/><Relationship Id="rId81" Type="http://schemas.openxmlformats.org/officeDocument/2006/relationships/oleObject" Target="embeddings/oleObject34.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image" Target="media/image60.wmf"/><Relationship Id="rId13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7.emf"/><Relationship Id="rId39" Type="http://schemas.openxmlformats.org/officeDocument/2006/relationships/oleObject" Target="embeddings/oleObject13.bin"/><Relationship Id="rId109" Type="http://schemas.openxmlformats.org/officeDocument/2006/relationships/oleObject" Target="embeddings/oleObject4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1.bin"/><Relationship Id="rId76" Type="http://schemas.openxmlformats.org/officeDocument/2006/relationships/image" Target="media/image37.wmf"/><Relationship Id="rId97" Type="http://schemas.openxmlformats.org/officeDocument/2006/relationships/oleObject" Target="embeddings/oleObject42.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56.bin"/><Relationship Id="rId7" Type="http://schemas.openxmlformats.org/officeDocument/2006/relationships/image" Target="media/image1.wmf"/><Relationship Id="rId71" Type="http://schemas.openxmlformats.org/officeDocument/2006/relationships/oleObject" Target="embeddings/oleObject29.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0.emf"/><Relationship Id="rId40" Type="http://schemas.openxmlformats.org/officeDocument/2006/relationships/image" Target="media/image19.wmf"/><Relationship Id="rId45" Type="http://schemas.openxmlformats.org/officeDocument/2006/relationships/oleObject" Target="embeddings/oleObject16.bin"/><Relationship Id="rId66" Type="http://schemas.openxmlformats.org/officeDocument/2006/relationships/image" Target="media/image32.wmf"/><Relationship Id="rId87" Type="http://schemas.openxmlformats.org/officeDocument/2006/relationships/oleObject" Target="embeddings/oleObject37.bin"/><Relationship Id="rId110" Type="http://schemas.openxmlformats.org/officeDocument/2006/relationships/image" Target="media/image54.wmf"/><Relationship Id="rId115" Type="http://schemas.openxmlformats.org/officeDocument/2006/relationships/oleObject" Target="embeddings/oleObject51.bin"/><Relationship Id="rId131" Type="http://schemas.openxmlformats.org/officeDocument/2006/relationships/fontTable" Target="fontTable.xml"/><Relationship Id="rId61" Type="http://schemas.openxmlformats.org/officeDocument/2006/relationships/oleObject" Target="embeddings/oleObject24.bin"/><Relationship Id="rId82" Type="http://schemas.openxmlformats.org/officeDocument/2006/relationships/image" Target="media/image40.wmf"/></Relationships>
</file>

<file path=word/_rels/settings.xml.rels><?xml version="1.0" encoding="UTF-8" standalone="yes"?>
<Relationships xmlns="http://schemas.openxmlformats.org/package/2006/relationships"><Relationship Id="rId1" Type="http://schemas.openxmlformats.org/officeDocument/2006/relationships/attachedTemplate" Target="file:///E:\OM%20SINGH%20(Current%20Jobs)\Word%20Composition\Adison-Wesley\2008\(05)%20May%202008\Berk_1e\9780321523235_SM\Berk_1e_523235_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Berk_1e_523235_SM</Template>
  <TotalTime>48</TotalTime>
  <Pages>11</Pages>
  <Words>3586</Words>
  <Characters>19659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M02_BERK3235_01_SM_C02</vt:lpstr>
    </vt:vector>
  </TitlesOfParts>
  <Company>ITC</Company>
  <LinksUpToDate>false</LinksUpToDate>
  <CharactersWithSpaces>23199</CharactersWithSpaces>
  <SharedDoc>false</SharedDoc>
  <HLinks>
    <vt:vector size="36" baseType="variant">
      <vt:variant>
        <vt:i4>851974</vt:i4>
      </vt:variant>
      <vt:variant>
        <vt:i4>-1</vt:i4>
      </vt:variant>
      <vt:variant>
        <vt:i4>1180</vt:i4>
      </vt:variant>
      <vt:variant>
        <vt:i4>1</vt:i4>
      </vt:variant>
      <vt:variant>
        <vt:lpwstr>Icon</vt:lpwstr>
      </vt:variant>
      <vt:variant>
        <vt:lpwstr/>
      </vt:variant>
      <vt:variant>
        <vt:i4>851974</vt:i4>
      </vt:variant>
      <vt:variant>
        <vt:i4>-1</vt:i4>
      </vt:variant>
      <vt:variant>
        <vt:i4>1181</vt:i4>
      </vt:variant>
      <vt:variant>
        <vt:i4>1</vt:i4>
      </vt:variant>
      <vt:variant>
        <vt:lpwstr>Icon</vt:lpwstr>
      </vt:variant>
      <vt:variant>
        <vt:lpwstr/>
      </vt:variant>
      <vt:variant>
        <vt:i4>851974</vt:i4>
      </vt:variant>
      <vt:variant>
        <vt:i4>-1</vt:i4>
      </vt:variant>
      <vt:variant>
        <vt:i4>1182</vt:i4>
      </vt:variant>
      <vt:variant>
        <vt:i4>1</vt:i4>
      </vt:variant>
      <vt:variant>
        <vt:lpwstr>Icon</vt:lpwstr>
      </vt:variant>
      <vt:variant>
        <vt:lpwstr/>
      </vt:variant>
      <vt:variant>
        <vt:i4>851974</vt:i4>
      </vt:variant>
      <vt:variant>
        <vt:i4>-1</vt:i4>
      </vt:variant>
      <vt:variant>
        <vt:i4>1183</vt:i4>
      </vt:variant>
      <vt:variant>
        <vt:i4>1</vt:i4>
      </vt:variant>
      <vt:variant>
        <vt:lpwstr>Icon</vt:lpwstr>
      </vt:variant>
      <vt:variant>
        <vt:lpwstr/>
      </vt:variant>
      <vt:variant>
        <vt:i4>851974</vt:i4>
      </vt:variant>
      <vt:variant>
        <vt:i4>-1</vt:i4>
      </vt:variant>
      <vt:variant>
        <vt:i4>1184</vt:i4>
      </vt:variant>
      <vt:variant>
        <vt:i4>1</vt:i4>
      </vt:variant>
      <vt:variant>
        <vt:lpwstr>Icon</vt:lpwstr>
      </vt:variant>
      <vt:variant>
        <vt:lpwstr/>
      </vt:variant>
      <vt:variant>
        <vt:i4>851974</vt:i4>
      </vt:variant>
      <vt:variant>
        <vt:i4>-1</vt:i4>
      </vt:variant>
      <vt:variant>
        <vt:i4>1185</vt:i4>
      </vt:variant>
      <vt:variant>
        <vt:i4>1</vt:i4>
      </vt:variant>
      <vt:variant>
        <vt:lpwstr>Icon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M02_BERK3235_01_SM_C02</dc:title>
  <dc:creator>AW</dc:creator>
  <cp:lastModifiedBy>Sheryl Nelson</cp:lastModifiedBy>
  <cp:revision>11</cp:revision>
  <cp:lastPrinted>2009-08-29T02:24:00Z</cp:lastPrinted>
  <dcterms:created xsi:type="dcterms:W3CDTF">2014-02-06T17:30:00Z</dcterms:created>
  <dcterms:modified xsi:type="dcterms:W3CDTF">2014-04-08T21:49:00Z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